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2C02C9" w14:textId="5FFF112B" w:rsidR="008A2C71" w:rsidRPr="00CE0424" w:rsidRDefault="008A2C71" w:rsidP="008A2C71">
      <w:pPr>
        <w:pStyle w:val="3GPPHeader"/>
        <w:spacing w:after="60"/>
        <w:rPr>
          <w:sz w:val="32"/>
          <w:szCs w:val="32"/>
          <w:highlight w:val="yellow"/>
        </w:rPr>
      </w:pPr>
      <w:r w:rsidRPr="00CE0424">
        <w:t>3GPP TSG-RAN WG</w:t>
      </w:r>
      <w:r>
        <w:t>1</w:t>
      </w:r>
      <w:r w:rsidRPr="00CE0424">
        <w:t xml:space="preserve"> </w:t>
      </w:r>
      <w:r>
        <w:t xml:space="preserve">Meeting </w:t>
      </w:r>
      <w:r w:rsidRPr="00CE0424">
        <w:t>#</w:t>
      </w:r>
      <w:r>
        <w:t>10</w:t>
      </w:r>
      <w:r w:rsidR="00C44F3E">
        <w:t>2</w:t>
      </w:r>
      <w:r>
        <w:t>-e</w:t>
      </w:r>
      <w:r w:rsidRPr="00CE0424">
        <w:tab/>
      </w:r>
      <w:r w:rsidRPr="00FB6421">
        <w:rPr>
          <w:sz w:val="32"/>
          <w:szCs w:val="32"/>
        </w:rPr>
        <w:t>R1-</w:t>
      </w:r>
      <w:r w:rsidR="002228BE" w:rsidRPr="00FB6421">
        <w:rPr>
          <w:sz w:val="32"/>
          <w:szCs w:val="32"/>
        </w:rPr>
        <w:t>20</w:t>
      </w:r>
      <w:r w:rsidR="002228BE" w:rsidRPr="00CE69E9">
        <w:rPr>
          <w:sz w:val="32"/>
          <w:szCs w:val="32"/>
        </w:rPr>
        <w:t>0</w:t>
      </w:r>
      <w:r w:rsidR="002228BE" w:rsidRPr="00F94015">
        <w:rPr>
          <w:sz w:val="32"/>
          <w:szCs w:val="32"/>
        </w:rPr>
        <w:t>5920</w:t>
      </w:r>
    </w:p>
    <w:p w14:paraId="5073AAFE" w14:textId="155CF97D" w:rsidR="008A2C71" w:rsidRPr="00CE0424" w:rsidRDefault="008A2C71" w:rsidP="008A2C71">
      <w:pPr>
        <w:pStyle w:val="3GPPHeader"/>
      </w:pPr>
      <w:r>
        <w:t>e-Meeting</w:t>
      </w:r>
      <w:r w:rsidRPr="009027D4">
        <w:t xml:space="preserve">, </w:t>
      </w:r>
      <w:r w:rsidR="00834870" w:rsidRPr="00834870">
        <w:rPr>
          <w:bCs/>
          <w:lang w:val="en-GB"/>
        </w:rPr>
        <w:t>August 17</w:t>
      </w:r>
      <w:r w:rsidR="00834870" w:rsidRPr="00834870">
        <w:rPr>
          <w:bCs/>
          <w:vertAlign w:val="superscript"/>
          <w:lang w:val="en-GB"/>
        </w:rPr>
        <w:t>th</w:t>
      </w:r>
      <w:r w:rsidR="00834870" w:rsidRPr="00834870">
        <w:rPr>
          <w:bCs/>
          <w:lang w:val="en-GB"/>
        </w:rPr>
        <w:t xml:space="preserve"> – 28</w:t>
      </w:r>
      <w:r w:rsidR="00834870" w:rsidRPr="00834870">
        <w:rPr>
          <w:bCs/>
          <w:vertAlign w:val="superscript"/>
          <w:lang w:val="en-GB"/>
        </w:rPr>
        <w:t>th</w:t>
      </w:r>
      <w:r>
        <w:t xml:space="preserve">, </w:t>
      </w:r>
      <w:r w:rsidRPr="009027D4">
        <w:t>2020</w:t>
      </w:r>
    </w:p>
    <w:p w14:paraId="6EFAF916" w14:textId="2ADBDA5F" w:rsidR="008A2C71" w:rsidRPr="004165CE" w:rsidRDefault="008A2C71" w:rsidP="008A2C71">
      <w:pPr>
        <w:pStyle w:val="3GPPHeader"/>
        <w:rPr>
          <w:sz w:val="22"/>
        </w:rPr>
      </w:pPr>
      <w:r w:rsidRPr="004165CE">
        <w:rPr>
          <w:sz w:val="22"/>
        </w:rPr>
        <w:t>Agenda Item:</w:t>
      </w:r>
      <w:r w:rsidRPr="004165CE">
        <w:rPr>
          <w:sz w:val="22"/>
        </w:rPr>
        <w:tab/>
        <w:t>8.</w:t>
      </w:r>
      <w:r w:rsidR="00802930">
        <w:rPr>
          <w:sz w:val="22"/>
        </w:rPr>
        <w:t>2</w:t>
      </w:r>
      <w:r w:rsidRPr="004165CE">
        <w:rPr>
          <w:sz w:val="22"/>
        </w:rPr>
        <w:t>.1</w:t>
      </w:r>
    </w:p>
    <w:p w14:paraId="2D32B49C" w14:textId="77777777" w:rsidR="008A2C71" w:rsidRPr="00CE0424" w:rsidRDefault="008A2C71" w:rsidP="008A2C71">
      <w:pPr>
        <w:pStyle w:val="3GPPHeader"/>
        <w:rPr>
          <w:sz w:val="22"/>
        </w:rPr>
      </w:pPr>
      <w:r>
        <w:rPr>
          <w:sz w:val="22"/>
        </w:rPr>
        <w:t>Source:</w:t>
      </w:r>
      <w:r w:rsidRPr="00CE0424">
        <w:rPr>
          <w:sz w:val="22"/>
        </w:rPr>
        <w:tab/>
        <w:t>Ericsson</w:t>
      </w:r>
    </w:p>
    <w:p w14:paraId="0D478E2E" w14:textId="0E5D4729" w:rsidR="008A2C71" w:rsidRPr="00CE0424" w:rsidRDefault="008A2C71" w:rsidP="008A2C71">
      <w:pPr>
        <w:pStyle w:val="3GPPHeader"/>
        <w:rPr>
          <w:sz w:val="22"/>
        </w:rPr>
      </w:pPr>
      <w:r>
        <w:rPr>
          <w:sz w:val="22"/>
        </w:rPr>
        <w:t>Title:</w:t>
      </w:r>
      <w:r w:rsidRPr="00CE0424">
        <w:rPr>
          <w:sz w:val="22"/>
        </w:rPr>
        <w:tab/>
      </w:r>
      <w:r w:rsidRPr="00F12222">
        <w:rPr>
          <w:sz w:val="22"/>
        </w:rPr>
        <w:t>On NR operations in 52.6 to 71 GHz</w:t>
      </w:r>
    </w:p>
    <w:p w14:paraId="0D263575" w14:textId="77777777" w:rsidR="008A2C71" w:rsidRPr="00CE0424" w:rsidRDefault="008A2C71" w:rsidP="008A2C71">
      <w:pPr>
        <w:pStyle w:val="3GPPHeader"/>
        <w:rPr>
          <w:sz w:val="22"/>
        </w:rPr>
      </w:pPr>
      <w:r w:rsidRPr="00CE0424">
        <w:rPr>
          <w:sz w:val="22"/>
        </w:rPr>
        <w:t>Document for:</w:t>
      </w:r>
      <w:r w:rsidRPr="00CE0424">
        <w:rPr>
          <w:sz w:val="22"/>
        </w:rPr>
        <w:tab/>
      </w:r>
      <w:r w:rsidRPr="009027D4">
        <w:rPr>
          <w:sz w:val="22"/>
        </w:rPr>
        <w:t>Discussion, Decision</w:t>
      </w:r>
    </w:p>
    <w:p w14:paraId="0DDD8C91" w14:textId="520F1410" w:rsidR="008A2C71" w:rsidRPr="00CE0424" w:rsidRDefault="008A2C71" w:rsidP="008A2C71">
      <w:pPr>
        <w:pStyle w:val="Heading1"/>
      </w:pPr>
      <w:bookmarkStart w:id="0" w:name="_Toc46307390"/>
      <w:bookmarkStart w:id="1" w:name="_Toc47530168"/>
      <w:r>
        <w:t>1</w:t>
      </w:r>
      <w:r>
        <w:tab/>
      </w:r>
      <w:r w:rsidRPr="00CE0424">
        <w:t>Introduction</w:t>
      </w:r>
      <w:bookmarkEnd w:id="0"/>
      <w:bookmarkEnd w:id="1"/>
      <w:r w:rsidR="0045249A">
        <w:t xml:space="preserve"> </w:t>
      </w:r>
    </w:p>
    <w:p w14:paraId="6F434CE2" w14:textId="75C43B4E" w:rsidR="008A2C71" w:rsidRPr="00EA0A41" w:rsidRDefault="0005399C" w:rsidP="008A2C71">
      <w:pPr>
        <w:pStyle w:val="BodyText"/>
      </w:pPr>
      <w:r>
        <w:t>A</w:t>
      </w:r>
      <w:r w:rsidR="008A2C71" w:rsidRPr="00EA0A41">
        <w:t xml:space="preserve"> new SI </w:t>
      </w:r>
      <w:r w:rsidR="008A2C71">
        <w:fldChar w:fldCharType="begin"/>
      </w:r>
      <w:r w:rsidR="008A2C71" w:rsidRPr="00EA0A41">
        <w:instrText xml:space="preserve"> REF _Ref37859208 \r \h </w:instrText>
      </w:r>
      <w:r w:rsidR="008A2C71">
        <w:fldChar w:fldCharType="separate"/>
      </w:r>
      <w:r w:rsidR="00CF206F">
        <w:t>[1]</w:t>
      </w:r>
      <w:r w:rsidR="008A2C71">
        <w:fldChar w:fldCharType="end"/>
      </w:r>
      <w:r w:rsidR="008A2C71" w:rsidRPr="00EA0A41">
        <w:t xml:space="preserve"> and a new WI </w:t>
      </w:r>
      <w:r w:rsidR="008A2C71">
        <w:fldChar w:fldCharType="begin"/>
      </w:r>
      <w:r w:rsidR="008A2C71" w:rsidRPr="00EA0A41">
        <w:instrText xml:space="preserve"> REF _Ref37858025 \r \h </w:instrText>
      </w:r>
      <w:r w:rsidR="008A2C71">
        <w:fldChar w:fldCharType="separate"/>
      </w:r>
      <w:r w:rsidR="00CF206F">
        <w:t>[2]</w:t>
      </w:r>
      <w:r w:rsidR="008A2C71">
        <w:fldChar w:fldCharType="end"/>
      </w:r>
      <w:r w:rsidR="008A2C71" w:rsidRPr="00EA0A41">
        <w:t xml:space="preserve"> were approved in RAN #86 to study and extend NR support in the frequency range of 52.6 GHz to 71 GHz.</w:t>
      </w:r>
      <w:r>
        <w:t xml:space="preserve"> </w:t>
      </w:r>
      <w:r w:rsidR="008A2C71" w:rsidRPr="00EA0A41">
        <w:t>This study item will include the following objectives:</w:t>
      </w:r>
    </w:p>
    <w:p w14:paraId="03E96301" w14:textId="77777777" w:rsidR="008A2C71" w:rsidRPr="00236EC1" w:rsidRDefault="008A2C71" w:rsidP="008A2C71">
      <w:pPr>
        <w:pStyle w:val="BodyText"/>
        <w:numPr>
          <w:ilvl w:val="0"/>
          <w:numId w:val="23"/>
        </w:numPr>
        <w:rPr>
          <w:bCs/>
        </w:rPr>
      </w:pPr>
      <w:r w:rsidRPr="00236EC1">
        <w:rPr>
          <w:bCs/>
        </w:rPr>
        <w:t>Study of required changes to NR using existing DL/UL NR waveform to support operation between 52.6 GHz and 71 GHz</w:t>
      </w:r>
    </w:p>
    <w:p w14:paraId="2B87DC3B" w14:textId="77777777" w:rsidR="008A2C71" w:rsidRPr="00236EC1" w:rsidRDefault="008A2C71" w:rsidP="008A2C71">
      <w:pPr>
        <w:pStyle w:val="BodyText"/>
        <w:numPr>
          <w:ilvl w:val="1"/>
          <w:numId w:val="23"/>
        </w:numPr>
        <w:rPr>
          <w:bCs/>
        </w:rPr>
      </w:pPr>
      <w:r w:rsidRPr="00236EC1">
        <w:rPr>
          <w:bCs/>
        </w:rPr>
        <w:t>Study of applicable numerology including subcarrier spacing, channel BW (including maximum BW), and their impact to FR2 physical layer design to support system functionality considering practical RF impairments [RAN1</w:t>
      </w:r>
      <w:r w:rsidRPr="00EA0A41">
        <w:t>, RAN4</w:t>
      </w:r>
      <w:r w:rsidRPr="00236EC1">
        <w:rPr>
          <w:bCs/>
        </w:rPr>
        <w:t>].</w:t>
      </w:r>
    </w:p>
    <w:p w14:paraId="1618861F" w14:textId="77777777" w:rsidR="008A2C71" w:rsidRPr="00236EC1" w:rsidRDefault="008A2C71" w:rsidP="008A2C71">
      <w:pPr>
        <w:pStyle w:val="BodyText"/>
        <w:numPr>
          <w:ilvl w:val="1"/>
          <w:numId w:val="23"/>
        </w:numPr>
        <w:rPr>
          <w:bCs/>
        </w:rPr>
      </w:pPr>
      <w:r w:rsidRPr="00EA0A41">
        <w:t>Identify potential critical problems to physical signal/channels, if any [RAN1].</w:t>
      </w:r>
    </w:p>
    <w:p w14:paraId="45DE2010" w14:textId="77777777" w:rsidR="008A2C71" w:rsidRPr="00236EC1" w:rsidRDefault="008A2C71" w:rsidP="008A2C71">
      <w:pPr>
        <w:pStyle w:val="BodyText"/>
        <w:numPr>
          <w:ilvl w:val="0"/>
          <w:numId w:val="23"/>
        </w:numPr>
        <w:rPr>
          <w:bCs/>
        </w:rPr>
      </w:pPr>
      <w:r w:rsidRPr="00236EC1">
        <w:rPr>
          <w:bCs/>
        </w:rPr>
        <w:t>Study of channel access mechanism, considering potential interference to/from other nodes, assuming beam based operation, in order to comply with the regulatory requirements applicable to unlicensed spectrum for frequencies between 52.6 GHz and 71 GHz [RAN1].</w:t>
      </w:r>
    </w:p>
    <w:p w14:paraId="7580E69E" w14:textId="77777777" w:rsidR="008A2C71" w:rsidRPr="00236EC1" w:rsidRDefault="008A2C71" w:rsidP="008A2C71">
      <w:pPr>
        <w:pStyle w:val="BodyText"/>
        <w:numPr>
          <w:ilvl w:val="1"/>
          <w:numId w:val="23"/>
        </w:numPr>
        <w:rPr>
          <w:bCs/>
        </w:rPr>
      </w:pPr>
      <w:r w:rsidRPr="00236EC1">
        <w:rPr>
          <w:bCs/>
        </w:rPr>
        <w:t xml:space="preserve">Note: It is clarified that potential interference impact, if identified, may require interference mitigation solutions as part of channel access mechanism.   </w:t>
      </w:r>
    </w:p>
    <w:p w14:paraId="6D1C2F4F" w14:textId="77777777" w:rsidR="008A2C71" w:rsidRPr="00CF5C01" w:rsidRDefault="008A2C71" w:rsidP="008A2C71">
      <w:pPr>
        <w:pStyle w:val="BodyText"/>
        <w:rPr>
          <w:bCs/>
        </w:rPr>
      </w:pPr>
      <w:r w:rsidRPr="00EA0A41">
        <w:t xml:space="preserve">The objectives for the WI, according to the outcome of the study item and leveraging FR2 design to the extent possible, are to extend NR operation up to 71 GHz considering both licensed and unlicensed operation. </w:t>
      </w:r>
      <w:r>
        <w:rPr>
          <w:bCs/>
        </w:rPr>
        <w:t>T</w:t>
      </w:r>
      <w:r w:rsidRPr="00CF5C01">
        <w:rPr>
          <w:bCs/>
        </w:rPr>
        <w:t xml:space="preserve">he following </w:t>
      </w:r>
      <w:r>
        <w:rPr>
          <w:bCs/>
        </w:rPr>
        <w:t xml:space="preserve">lists </w:t>
      </w:r>
      <w:r w:rsidRPr="00CF5C01">
        <w:rPr>
          <w:bCs/>
        </w:rPr>
        <w:t>objectives</w:t>
      </w:r>
      <w:r>
        <w:rPr>
          <w:bCs/>
        </w:rPr>
        <w:t xml:space="preserve"> with RAN1 lead</w:t>
      </w:r>
      <w:r w:rsidRPr="00CF5C01">
        <w:rPr>
          <w:rFonts w:hint="eastAsia"/>
          <w:bCs/>
        </w:rPr>
        <w:t>:</w:t>
      </w:r>
    </w:p>
    <w:p w14:paraId="6D4FE9E6" w14:textId="77777777" w:rsidR="008A2C71" w:rsidRPr="00EA0A41" w:rsidRDefault="008A2C71" w:rsidP="008A2C71">
      <w:pPr>
        <w:pStyle w:val="BodyText"/>
        <w:numPr>
          <w:ilvl w:val="0"/>
          <w:numId w:val="24"/>
        </w:numPr>
      </w:pPr>
      <w:r w:rsidRPr="00EA0A41">
        <w:rPr>
          <w:rFonts w:hint="eastAsia"/>
        </w:rPr>
        <w:t>Physical layer aspects</w:t>
      </w:r>
      <w:r w:rsidRPr="00EA0A41">
        <w:t xml:space="preserve"> including [RAN1]</w:t>
      </w:r>
      <w:r w:rsidRPr="00EA0A41">
        <w:rPr>
          <w:rFonts w:hint="eastAsia"/>
        </w:rPr>
        <w:t>:</w:t>
      </w:r>
    </w:p>
    <w:p w14:paraId="2DCD14AB" w14:textId="77777777" w:rsidR="008A2C71" w:rsidRPr="00EA0A41" w:rsidRDefault="008A2C71" w:rsidP="008A2C71">
      <w:pPr>
        <w:pStyle w:val="BodyText"/>
        <w:numPr>
          <w:ilvl w:val="1"/>
          <w:numId w:val="24"/>
        </w:numPr>
      </w:pPr>
      <w:bookmarkStart w:id="2" w:name="_Hlk26996217"/>
      <w:r w:rsidRPr="00EA0A41">
        <w:t xml:space="preserve">New numerology or numerologies (µ value in 38.211) for operation in this frequency range. Addressing impact on physical signals/channels if any, as identified in the SI. </w:t>
      </w:r>
    </w:p>
    <w:bookmarkEnd w:id="2"/>
    <w:p w14:paraId="2F9E9E31" w14:textId="77777777" w:rsidR="008A2C71" w:rsidRPr="00EA0A41" w:rsidRDefault="008A2C71" w:rsidP="008A2C71">
      <w:pPr>
        <w:pStyle w:val="BodyText"/>
        <w:numPr>
          <w:ilvl w:val="1"/>
          <w:numId w:val="24"/>
        </w:numPr>
      </w:pPr>
      <w:r w:rsidRPr="00EA0A41">
        <w:t xml:space="preserve">Time line related aspects adapted to each of the new numerologies, e.g., BWP and beam switching times, HARQ scheduling, UE processing, preparation and computation times for PDSCH, PUSCH/SRS and CSI, respectively. </w:t>
      </w:r>
    </w:p>
    <w:p w14:paraId="73278EDF" w14:textId="77777777" w:rsidR="008A2C71" w:rsidRPr="00EA0A41" w:rsidRDefault="008A2C71" w:rsidP="008A2C71">
      <w:pPr>
        <w:pStyle w:val="BodyText"/>
        <w:numPr>
          <w:ilvl w:val="1"/>
          <w:numId w:val="24"/>
        </w:numPr>
      </w:pPr>
      <w:r w:rsidRPr="00EA0A41">
        <w:t xml:space="preserve">Support of up to 64 SSB beams for licensed and unlicensed operation in this frequency range. </w:t>
      </w:r>
    </w:p>
    <w:p w14:paraId="4FA0EF61" w14:textId="77777777" w:rsidR="008A2C71" w:rsidRPr="00EA0A41" w:rsidRDefault="008A2C71" w:rsidP="008A2C71">
      <w:pPr>
        <w:pStyle w:val="BodyText"/>
        <w:numPr>
          <w:ilvl w:val="0"/>
          <w:numId w:val="24"/>
        </w:numPr>
      </w:pPr>
      <w:r w:rsidRPr="00EA0A41">
        <w:t>Physical layer procedure(s) including [RAN1]</w:t>
      </w:r>
      <w:r w:rsidRPr="00EA0A41">
        <w:rPr>
          <w:rFonts w:hint="eastAsia"/>
        </w:rPr>
        <w:t>:</w:t>
      </w:r>
    </w:p>
    <w:p w14:paraId="6C0C4B81" w14:textId="77777777" w:rsidR="008A2C71" w:rsidRDefault="008A2C71" w:rsidP="008A2C71">
      <w:pPr>
        <w:pStyle w:val="BodyText"/>
        <w:numPr>
          <w:ilvl w:val="1"/>
          <w:numId w:val="24"/>
        </w:numPr>
      </w:pPr>
      <w:r w:rsidRPr="00EA0A41">
        <w:t xml:space="preserve">Channel access mechanism assuming beam based operation in order to comply with the regulatory requirements applicable to unlicensed spectrum for frequencies between 52.6GHz and 71GHz. </w:t>
      </w:r>
    </w:p>
    <w:p w14:paraId="0B28D60A" w14:textId="79608630" w:rsidR="00A46055" w:rsidRPr="00EA0A41" w:rsidRDefault="002B129B" w:rsidP="004F097B">
      <w:pPr>
        <w:pStyle w:val="BodyText"/>
      </w:pPr>
      <w:r>
        <w:t>In this contribution, we first discuss the selection of maximum channel bandwidth</w:t>
      </w:r>
      <w:r w:rsidR="00C01510">
        <w:t xml:space="preserve"> from regulatory</w:t>
      </w:r>
      <w:r w:rsidR="00DC402B">
        <w:t>,</w:t>
      </w:r>
      <w:r w:rsidR="00C01510">
        <w:t xml:space="preserve"> practical </w:t>
      </w:r>
      <w:r w:rsidR="00DC402B">
        <w:t xml:space="preserve">coexistence and </w:t>
      </w:r>
      <w:r w:rsidR="00C01510">
        <w:t>engineering point</w:t>
      </w:r>
      <w:r w:rsidR="00C6405E">
        <w:t>s</w:t>
      </w:r>
      <w:r w:rsidR="00C01510">
        <w:t xml:space="preserve"> of view.</w:t>
      </w:r>
      <w:r w:rsidR="00735A20">
        <w:t xml:space="preserve"> </w:t>
      </w:r>
      <w:r w:rsidR="00315925">
        <w:t xml:space="preserve">We then </w:t>
      </w:r>
      <w:r w:rsidR="007D77B0">
        <w:t xml:space="preserve">examine if the impact of different </w:t>
      </w:r>
      <w:r w:rsidR="00315925">
        <w:t>sub-carrier spacing</w:t>
      </w:r>
      <w:r w:rsidR="007D77B0">
        <w:t xml:space="preserve">s </w:t>
      </w:r>
      <w:r w:rsidR="004937AD">
        <w:t xml:space="preserve">on a diverse </w:t>
      </w:r>
      <w:r w:rsidR="005B354F">
        <w:t xml:space="preserve">range of </w:t>
      </w:r>
      <w:r w:rsidR="004937AD">
        <w:t>system aspect</w:t>
      </w:r>
      <w:r w:rsidR="005B354F">
        <w:t>s</w:t>
      </w:r>
      <w:r w:rsidR="00DD4718">
        <w:t>: (1) p</w:t>
      </w:r>
      <w:r w:rsidR="005B354F">
        <w:t>hase noise handling with extensive link level evaluation results</w:t>
      </w:r>
      <w:r w:rsidR="00A22E25">
        <w:t>, (2) c</w:t>
      </w:r>
      <w:r w:rsidR="005B354F">
        <w:t>yclic prefix lengths and applicable environments</w:t>
      </w:r>
      <w:r w:rsidR="00A22E25">
        <w:t>, (3) f</w:t>
      </w:r>
      <w:r w:rsidR="005B354F">
        <w:t>requency and timing estimation tolerance issues</w:t>
      </w:r>
      <w:r w:rsidR="00A22E25">
        <w:t>, (4) c</w:t>
      </w:r>
      <w:r w:rsidR="005B354F">
        <w:t>overage and applicable deployments</w:t>
      </w:r>
      <w:r w:rsidR="00A22E25">
        <w:t>, and (5) p</w:t>
      </w:r>
      <w:r w:rsidR="005B354F">
        <w:t>rocessing time issues</w:t>
      </w:r>
      <w:r w:rsidR="00A22E25">
        <w:t xml:space="preserve">. </w:t>
      </w:r>
      <w:r w:rsidR="0085722F">
        <w:t xml:space="preserve">Finally, we discuss </w:t>
      </w:r>
      <w:r w:rsidR="003A6A30">
        <w:t xml:space="preserve">a few </w:t>
      </w:r>
      <w:r w:rsidR="00457054">
        <w:t>potential enhancement</w:t>
      </w:r>
      <w:r w:rsidR="00AF0268">
        <w:t>s</w:t>
      </w:r>
      <w:r w:rsidR="00457054">
        <w:t xml:space="preserve"> </w:t>
      </w:r>
      <w:r w:rsidR="00AF0268">
        <w:t xml:space="preserve">that are </w:t>
      </w:r>
      <w:r w:rsidR="003A6A30">
        <w:t xml:space="preserve">beneficial </w:t>
      </w:r>
      <w:r w:rsidR="00AF0268">
        <w:t>to NR operation in 52.6 to 71 GHz.</w:t>
      </w:r>
    </w:p>
    <w:p w14:paraId="1A214E22" w14:textId="5B5D25B5" w:rsidR="00644FEB" w:rsidRDefault="00644FEB" w:rsidP="00644FEB">
      <w:pPr>
        <w:pStyle w:val="Heading1"/>
      </w:pPr>
      <w:bookmarkStart w:id="3" w:name="_Toc46307391"/>
      <w:bookmarkStart w:id="4" w:name="_Toc47530169"/>
      <w:r>
        <w:t>2</w:t>
      </w:r>
      <w:r>
        <w:tab/>
      </w:r>
      <w:r w:rsidR="00DA787C">
        <w:t>Channel bandwidth</w:t>
      </w:r>
      <w:r w:rsidR="00DA787C" w:rsidDel="00DA787C">
        <w:t xml:space="preserve"> </w:t>
      </w:r>
      <w:r w:rsidR="00DA787C">
        <w:t>selection</w:t>
      </w:r>
      <w:bookmarkEnd w:id="3"/>
      <w:bookmarkEnd w:id="4"/>
    </w:p>
    <w:p w14:paraId="521B293E" w14:textId="106BE338" w:rsidR="00DA787C" w:rsidRDefault="00DA787C" w:rsidP="00DA787C">
      <w:pPr>
        <w:pStyle w:val="BodyText"/>
      </w:pPr>
      <w:r w:rsidRPr="00EA0A41">
        <w:t xml:space="preserve">The frequency range of 57 – 71 GHz provides a large amount of spectrum for </w:t>
      </w:r>
      <w:r w:rsidR="007D45A7">
        <w:t xml:space="preserve">NR </w:t>
      </w:r>
      <w:r w:rsidRPr="00EA0A41">
        <w:t xml:space="preserve">operations. A system bandwidth of larger than the currently supported 400 MHz can be envisioned. However, to optimize NR </w:t>
      </w:r>
      <w:r w:rsidRPr="00EA0A41">
        <w:lastRenderedPageBreak/>
        <w:t>operations for different deployment and use cases in this frequency range, the SI and WI should consider and incorporate system designs and parameters that are beneficial for the different use case archetypes.</w:t>
      </w:r>
    </w:p>
    <w:p w14:paraId="065C90E0" w14:textId="00F34FEB" w:rsidR="00A0528D" w:rsidRDefault="006D68D0" w:rsidP="00DA787C">
      <w:pPr>
        <w:pStyle w:val="BodyText"/>
      </w:pPr>
      <w:r>
        <w:t>Several companies have taken the IEEE 802.11ad channel bandwidth of 2.16 GHz as a starting point for NR operation in the 52.6</w:t>
      </w:r>
      <w:r w:rsidR="006E4D37">
        <w:t xml:space="preserve"> </w:t>
      </w:r>
      <w:r>
        <w:t>–</w:t>
      </w:r>
      <w:r w:rsidR="006E4D37">
        <w:t xml:space="preserve"> </w:t>
      </w:r>
      <w:r>
        <w:t xml:space="preserve">71 GHz </w:t>
      </w:r>
      <w:r w:rsidR="009C2085">
        <w:t xml:space="preserve">frequency range. </w:t>
      </w:r>
      <w:r w:rsidR="00C647A4">
        <w:t>There further appear</w:t>
      </w:r>
      <w:r w:rsidR="00B16C92">
        <w:t>s</w:t>
      </w:r>
      <w:r w:rsidR="00C647A4">
        <w:t xml:space="preserve"> to </w:t>
      </w:r>
      <w:r w:rsidR="00B16C92">
        <w:t xml:space="preserve">be </w:t>
      </w:r>
      <w:r w:rsidR="00C647A4">
        <w:t xml:space="preserve">misconception that </w:t>
      </w:r>
      <w:r w:rsidR="00A87BE6">
        <w:t xml:space="preserve">adopting the same channel bandwidth </w:t>
      </w:r>
      <w:r w:rsidR="00B16C92">
        <w:t xml:space="preserve">is </w:t>
      </w:r>
      <w:r w:rsidR="00C240F6">
        <w:t xml:space="preserve">necessary for coexistence purpose. </w:t>
      </w:r>
      <w:r w:rsidR="00D1419C">
        <w:t xml:space="preserve">This, however, is not the </w:t>
      </w:r>
      <w:r w:rsidR="00C7398D">
        <w:t>case</w:t>
      </w:r>
      <w:r w:rsidR="00332DD8">
        <w:t xml:space="preserve"> </w:t>
      </w:r>
      <w:r w:rsidR="005064F4">
        <w:t>as we show</w:t>
      </w:r>
      <w:r w:rsidR="00A579B9">
        <w:t xml:space="preserve"> in the following that </w:t>
      </w:r>
      <w:r w:rsidR="005064F4">
        <w:t xml:space="preserve"> </w:t>
      </w:r>
    </w:p>
    <w:p w14:paraId="08B62014" w14:textId="1CFF1F67" w:rsidR="0080595B" w:rsidRPr="001B36D6" w:rsidRDefault="0080595B" w:rsidP="00F94015">
      <w:pPr>
        <w:pStyle w:val="Observation"/>
        <w:tabs>
          <w:tab w:val="left" w:pos="1530"/>
        </w:tabs>
        <w:overflowPunct/>
        <w:autoSpaceDE/>
        <w:autoSpaceDN/>
        <w:adjustRightInd/>
        <w:spacing w:line="259" w:lineRule="auto"/>
        <w:ind w:left="1530" w:hanging="1530"/>
        <w:textAlignment w:val="auto"/>
      </w:pPr>
      <w:bookmarkStart w:id="5" w:name="_Toc46238822"/>
      <w:bookmarkStart w:id="6" w:name="_Toc46238842"/>
      <w:bookmarkStart w:id="7" w:name="_Toc46238933"/>
      <w:bookmarkStart w:id="8" w:name="_Toc46238968"/>
      <w:bookmarkStart w:id="9" w:name="_Toc46239031"/>
      <w:bookmarkStart w:id="10" w:name="_Toc46239066"/>
      <w:bookmarkStart w:id="11" w:name="_Toc46239099"/>
      <w:bookmarkStart w:id="12" w:name="_Toc46239768"/>
      <w:bookmarkStart w:id="13" w:name="_Toc46239897"/>
      <w:bookmarkStart w:id="14" w:name="_Toc46240390"/>
      <w:bookmarkStart w:id="15" w:name="_Toc46238823"/>
      <w:bookmarkStart w:id="16" w:name="_Toc46238843"/>
      <w:bookmarkStart w:id="17" w:name="_Toc46238934"/>
      <w:bookmarkStart w:id="18" w:name="_Toc46238969"/>
      <w:bookmarkStart w:id="19" w:name="_Toc46239032"/>
      <w:bookmarkStart w:id="20" w:name="_Toc46239067"/>
      <w:bookmarkStart w:id="21" w:name="_Toc46239100"/>
      <w:bookmarkStart w:id="22" w:name="_Toc46239769"/>
      <w:bookmarkStart w:id="23" w:name="_Toc46239898"/>
      <w:bookmarkStart w:id="24" w:name="_Toc46240391"/>
      <w:bookmarkStart w:id="25" w:name="_Toc46238824"/>
      <w:bookmarkStart w:id="26" w:name="_Toc46238844"/>
      <w:bookmarkStart w:id="27" w:name="_Toc46238935"/>
      <w:bookmarkStart w:id="28" w:name="_Toc46238970"/>
      <w:bookmarkStart w:id="29" w:name="_Toc46239033"/>
      <w:bookmarkStart w:id="30" w:name="_Toc46239068"/>
      <w:bookmarkStart w:id="31" w:name="_Toc46239101"/>
      <w:bookmarkStart w:id="32" w:name="_Toc46239770"/>
      <w:bookmarkStart w:id="33" w:name="_Toc46239899"/>
      <w:bookmarkStart w:id="34" w:name="_Toc46240392"/>
      <w:bookmarkStart w:id="35" w:name="_Toc46235349"/>
      <w:bookmarkStart w:id="36" w:name="_Toc46237859"/>
      <w:bookmarkStart w:id="37" w:name="_Toc46237892"/>
      <w:bookmarkStart w:id="38" w:name="_Toc46238825"/>
      <w:bookmarkStart w:id="39" w:name="_Toc46238845"/>
      <w:bookmarkStart w:id="40" w:name="_Toc46238936"/>
      <w:bookmarkStart w:id="41" w:name="_Toc46238971"/>
      <w:bookmarkStart w:id="42" w:name="_Toc46239034"/>
      <w:bookmarkStart w:id="43" w:name="_Toc46239069"/>
      <w:bookmarkStart w:id="44" w:name="_Toc46239102"/>
      <w:bookmarkStart w:id="45" w:name="_Toc46239771"/>
      <w:bookmarkStart w:id="46" w:name="_Toc46239900"/>
      <w:bookmarkStart w:id="47" w:name="_Toc46240393"/>
      <w:bookmarkStart w:id="48" w:name="_Toc4771201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Pr>
          <w:lang w:val="en-GB"/>
        </w:rPr>
        <w:t xml:space="preserve">There is no regulatory or practical need to align the channel bandwidth (e.g., 2.16 GHz) with other technologies operating in the same 60 GHz </w:t>
      </w:r>
      <w:r w:rsidR="001B2BDC">
        <w:rPr>
          <w:lang w:val="en-GB"/>
        </w:rPr>
        <w:t xml:space="preserve">band </w:t>
      </w:r>
      <w:r>
        <w:rPr>
          <w:lang w:val="en-GB"/>
        </w:rPr>
        <w:t>for coexistence purposes</w:t>
      </w:r>
      <w:r w:rsidRPr="001078E8">
        <w:rPr>
          <w:lang w:val="en-GB"/>
        </w:rPr>
        <w:t>.</w:t>
      </w:r>
      <w:bookmarkEnd w:id="48"/>
      <w:r w:rsidRPr="001078E8">
        <w:rPr>
          <w:lang w:val="en-GB"/>
        </w:rPr>
        <w:t xml:space="preserve"> </w:t>
      </w:r>
    </w:p>
    <w:p w14:paraId="6AFBDA98" w14:textId="5AFDECC2" w:rsidR="00646245" w:rsidRDefault="00646245" w:rsidP="00DA787C">
      <w:pPr>
        <w:pStyle w:val="BodyText"/>
      </w:pPr>
    </w:p>
    <w:p w14:paraId="5A70ABE9" w14:textId="78FD4153" w:rsidR="00646245" w:rsidRPr="00474D2A" w:rsidRDefault="0027510F" w:rsidP="00DA787C">
      <w:pPr>
        <w:pStyle w:val="BodyText"/>
      </w:pPr>
      <w:r>
        <w:t xml:space="preserve">Recognizing the necessity of beamformed transmissions to reach adequate link budget for reliable communications, most regulatory requirements for the 60 GHz bands place much </w:t>
      </w:r>
      <w:r w:rsidR="001B2BDC">
        <w:t xml:space="preserve">fewer </w:t>
      </w:r>
      <w:r>
        <w:t>restrictions than those placed on the 5 or 6 GHz</w:t>
      </w:r>
      <w:r w:rsidR="0070178E">
        <w:t xml:space="preserve"> </w:t>
      </w:r>
      <w:r w:rsidR="001B2BDC">
        <w:t xml:space="preserve">band </w:t>
      </w:r>
      <w:r w:rsidR="0070178E">
        <w:t xml:space="preserve">(see further details in the companion contribution </w:t>
      </w:r>
      <w:r w:rsidR="0070178E">
        <w:fldChar w:fldCharType="begin"/>
      </w:r>
      <w:r w:rsidR="0070178E">
        <w:instrText xml:space="preserve"> REF _Ref46231781 \r \h </w:instrText>
      </w:r>
      <w:r w:rsidR="0070178E">
        <w:fldChar w:fldCharType="separate"/>
      </w:r>
      <w:r w:rsidR="00CF206F">
        <w:t>[3]</w:t>
      </w:r>
      <w:r w:rsidR="0070178E">
        <w:fldChar w:fldCharType="end"/>
      </w:r>
      <w:r w:rsidR="0070178E">
        <w:t>)</w:t>
      </w:r>
      <w:r>
        <w:t xml:space="preserve">. Among the various regulatory bodies from FCC to EC CEPT, the harmonized standard </w:t>
      </w:r>
      <w:r w:rsidRPr="00D739A6">
        <w:t>EN 302 567</w:t>
      </w:r>
      <w:r>
        <w:t xml:space="preserve"> for the CEPT c1 band (indoor operation in the EU market) imposes more requirements than any other. However, even </w:t>
      </w:r>
      <w:r w:rsidR="00D739A6" w:rsidRPr="00D739A6">
        <w:t xml:space="preserve">EN 302 567 does not define a nominal channel bandwidth or any channelization </w:t>
      </w:r>
      <w:r w:rsidR="006E4D37">
        <w:t xml:space="preserve">in </w:t>
      </w:r>
      <w:r w:rsidR="00D739A6" w:rsidRPr="00D739A6">
        <w:t>the 57</w:t>
      </w:r>
      <w:r w:rsidR="006E4D37">
        <w:t xml:space="preserve"> </w:t>
      </w:r>
      <w:r w:rsidR="00C834B6">
        <w:t xml:space="preserve">– </w:t>
      </w:r>
      <w:r w:rsidR="00D739A6" w:rsidRPr="00D739A6">
        <w:t>71</w:t>
      </w:r>
      <w:r w:rsidR="00C834B6">
        <w:t xml:space="preserve"> </w:t>
      </w:r>
      <w:r w:rsidR="00D739A6" w:rsidRPr="00D739A6">
        <w:t xml:space="preserve">GHz frequency range. In fact, a device </w:t>
      </w:r>
      <w:r w:rsidR="001B2BDC">
        <w:t>compliant</w:t>
      </w:r>
      <w:r w:rsidR="001B2BDC" w:rsidRPr="00D739A6">
        <w:t xml:space="preserve"> </w:t>
      </w:r>
      <w:r w:rsidR="00D739A6" w:rsidRPr="00D739A6">
        <w:t>with EN 302 567 can declare one or more nominal channel bandwidth</w:t>
      </w:r>
      <w:r w:rsidR="00C834B6">
        <w:t>s and</w:t>
      </w:r>
      <w:r w:rsidR="00D739A6" w:rsidRPr="00D739A6">
        <w:t xml:space="preserve">, for every declared nominal bandwidth, the device is required to support at least one mode of transmission where the transmission occupy at least 70% of the declared nominal channel bandwidth. </w:t>
      </w:r>
      <w:r w:rsidR="001B2BDC">
        <w:t>This means</w:t>
      </w:r>
      <w:r w:rsidR="001B2BDC" w:rsidRPr="00D739A6">
        <w:t xml:space="preserve"> </w:t>
      </w:r>
      <w:r w:rsidR="00D739A6" w:rsidRPr="00D739A6">
        <w:t>that not all transmissions by the device must occupy more than 70% of declared nominal channel bandwidth</w:t>
      </w:r>
      <w:r w:rsidR="001B2BDC">
        <w:t>; i</w:t>
      </w:r>
      <w:r w:rsidR="00D739A6" w:rsidRPr="00D739A6">
        <w:t xml:space="preserve">t is enough if at least some transmissions by the device occupy more than 70% of the declared nominal bandwidth. </w:t>
      </w:r>
      <w:r w:rsidR="00A44C9E">
        <w:t xml:space="preserve">That is, </w:t>
      </w:r>
      <w:r w:rsidR="00A44C9E" w:rsidRPr="00A743A7">
        <w:rPr>
          <w:b/>
          <w:bCs/>
        </w:rPr>
        <w:t xml:space="preserve">any </w:t>
      </w:r>
      <w:r w:rsidR="00FC71AE" w:rsidRPr="00A743A7">
        <w:rPr>
          <w:b/>
          <w:bCs/>
        </w:rPr>
        <w:t xml:space="preserve">declared </w:t>
      </w:r>
      <w:r w:rsidR="00A44C9E" w:rsidRPr="00A743A7">
        <w:rPr>
          <w:b/>
          <w:bCs/>
        </w:rPr>
        <w:t xml:space="preserve">channel bandwidth is allowed and actual transmission bandwidth </w:t>
      </w:r>
      <w:r w:rsidR="00FC71AE" w:rsidRPr="00A743A7">
        <w:rPr>
          <w:b/>
          <w:bCs/>
        </w:rPr>
        <w:t>at any point in time may be different than the declared channel bandwidth</w:t>
      </w:r>
      <w:r w:rsidR="004A551B">
        <w:t xml:space="preserve"> according to the most stringent regulatory requirements.</w:t>
      </w:r>
    </w:p>
    <w:p w14:paraId="6D96E26D" w14:textId="301DD5C5" w:rsidR="007C4164" w:rsidRDefault="007C4164" w:rsidP="00DA787C">
      <w:pPr>
        <w:pStyle w:val="BodyText"/>
      </w:pPr>
      <w:r>
        <w:t xml:space="preserve">We have provided extensive research and evaluation results in the companion contribution </w:t>
      </w:r>
      <w:r>
        <w:fldChar w:fldCharType="begin"/>
      </w:r>
      <w:r>
        <w:instrText xml:space="preserve"> REF _Ref46231781 \r \h </w:instrText>
      </w:r>
      <w:r>
        <w:fldChar w:fldCharType="separate"/>
      </w:r>
      <w:r w:rsidR="00CF206F">
        <w:t>[3]</w:t>
      </w:r>
      <w:r>
        <w:fldChar w:fldCharType="end"/>
      </w:r>
      <w:r>
        <w:t xml:space="preserve"> to show that </w:t>
      </w:r>
      <w:r w:rsidR="00E16B06">
        <w:t xml:space="preserve">(1) </w:t>
      </w:r>
      <w:r w:rsidR="00C81AA9">
        <w:rPr>
          <w:lang w:val="en-GB"/>
        </w:rPr>
        <w:t xml:space="preserve">the </w:t>
      </w:r>
      <w:r w:rsidR="00C81AA9" w:rsidRPr="00A743A7">
        <w:rPr>
          <w:b/>
          <w:bCs/>
          <w:lang w:val="en-GB"/>
        </w:rPr>
        <w:t>probability of interference is very low</w:t>
      </w:r>
      <w:r w:rsidR="00C81AA9">
        <w:rPr>
          <w:lang w:val="en-GB"/>
        </w:rPr>
        <w:t xml:space="preserve"> due to high directional beamforming and high</w:t>
      </w:r>
      <w:r w:rsidR="00C81AA9" w:rsidRPr="003118EA">
        <w:rPr>
          <w:lang w:val="en-GB"/>
        </w:rPr>
        <w:t xml:space="preserve"> </w:t>
      </w:r>
      <w:r w:rsidR="00C81AA9" w:rsidRPr="0032439F">
        <w:rPr>
          <w:lang w:val="en-GB"/>
        </w:rPr>
        <w:t>attenuation</w:t>
      </w:r>
      <w:r w:rsidR="00996A26">
        <w:t xml:space="preserve">; </w:t>
      </w:r>
      <w:r w:rsidR="003E1AFC">
        <w:t xml:space="preserve">and </w:t>
      </w:r>
      <w:r w:rsidR="00996A26">
        <w:t xml:space="preserve">(2) </w:t>
      </w:r>
      <w:r w:rsidRPr="00A743A7">
        <w:rPr>
          <w:b/>
          <w:bCs/>
        </w:rPr>
        <w:t xml:space="preserve">LBT procedures do not provide </w:t>
      </w:r>
      <w:r w:rsidR="00940D84" w:rsidRPr="00A743A7">
        <w:rPr>
          <w:b/>
          <w:bCs/>
        </w:rPr>
        <w:t xml:space="preserve">any </w:t>
      </w:r>
      <w:r w:rsidR="00E96273" w:rsidRPr="00A743A7">
        <w:rPr>
          <w:b/>
          <w:bCs/>
        </w:rPr>
        <w:t>observable benefit</w:t>
      </w:r>
      <w:r w:rsidR="003E1AFC">
        <w:t>.</w:t>
      </w:r>
    </w:p>
    <w:p w14:paraId="2BC58B74" w14:textId="1E4EE445" w:rsidR="002B2D49" w:rsidRDefault="004012DD" w:rsidP="00DA787C">
      <w:pPr>
        <w:pStyle w:val="BodyText"/>
      </w:pPr>
      <w:r>
        <w:t xml:space="preserve">For the sub-7 GHz bands, overlapping channels can cause unnecessarily higher interference between different communication nodes, </w:t>
      </w:r>
      <w:r w:rsidR="005E5669">
        <w:t xml:space="preserve">which was </w:t>
      </w:r>
      <w:r w:rsidR="00E3671A">
        <w:t xml:space="preserve">a mistake made in the </w:t>
      </w:r>
      <w:r w:rsidR="00B97697">
        <w:t xml:space="preserve">Wi-Fi channelization </w:t>
      </w:r>
      <w:r w:rsidR="00BA3226">
        <w:t xml:space="preserve">design for the </w:t>
      </w:r>
      <w:r w:rsidR="00E3671A">
        <w:t>2.4 GHz band</w:t>
      </w:r>
      <w:r>
        <w:t xml:space="preserve">. </w:t>
      </w:r>
      <w:r w:rsidR="00C02938">
        <w:t xml:space="preserve">In the channelization design for 5 GHz, IEEE imposed a </w:t>
      </w:r>
      <w:r w:rsidR="0078461B">
        <w:t xml:space="preserve">nonoverlapping channel principle </w:t>
      </w:r>
      <w:r w:rsidR="002531D0">
        <w:t>to avoid such interference issues.</w:t>
      </w:r>
      <w:r w:rsidR="00813D71">
        <w:t xml:space="preserve"> </w:t>
      </w:r>
      <w:r w:rsidR="00EE5A59">
        <w:t xml:space="preserve">However, this </w:t>
      </w:r>
      <w:r w:rsidR="00EE5A59" w:rsidRPr="00A743A7">
        <w:rPr>
          <w:b/>
          <w:bCs/>
        </w:rPr>
        <w:t>nonoverlapping channel principle has been abandoned by IEEE in the channelization designs for the 60 GHz band</w:t>
      </w:r>
      <w:r w:rsidR="00EE5A59">
        <w:t xml:space="preserve">. </w:t>
      </w:r>
      <w:r w:rsidR="00CC729E">
        <w:t xml:space="preserve">As shown in </w:t>
      </w:r>
      <w:r w:rsidR="00CC729E">
        <w:fldChar w:fldCharType="begin"/>
      </w:r>
      <w:r w:rsidR="00CC729E">
        <w:instrText xml:space="preserve"> REF _Ref46233016 \h </w:instrText>
      </w:r>
      <w:r w:rsidR="00CC729E">
        <w:fldChar w:fldCharType="separate"/>
      </w:r>
      <w:r w:rsidR="00CF206F">
        <w:t>Figure</w:t>
      </w:r>
      <w:r w:rsidR="00CF206F" w:rsidRPr="00731273">
        <w:t xml:space="preserve"> </w:t>
      </w:r>
      <w:r w:rsidR="00CF206F">
        <w:rPr>
          <w:noProof/>
        </w:rPr>
        <w:t>1</w:t>
      </w:r>
      <w:r w:rsidR="00CC729E">
        <w:fldChar w:fldCharType="end"/>
      </w:r>
      <w:r w:rsidR="00CC729E">
        <w:t xml:space="preserve">, </w:t>
      </w:r>
      <w:r w:rsidR="00F40E0A">
        <w:t xml:space="preserve">it can be observed that channels with bandwidths &gt; 2.16 GHz overlaps with each other. </w:t>
      </w:r>
      <w:r w:rsidR="00C8097A">
        <w:t xml:space="preserve">Such channelization designs from IEEE further support our empirical results that interference </w:t>
      </w:r>
      <w:r w:rsidR="00CF641F">
        <w:t xml:space="preserve">does not </w:t>
      </w:r>
      <w:r w:rsidR="00D53E61">
        <w:t>play</w:t>
      </w:r>
      <w:r w:rsidR="00CF641F">
        <w:t xml:space="preserve"> an important factor </w:t>
      </w:r>
      <w:r w:rsidR="00902223">
        <w:t>in the 60 GHz system operations.</w:t>
      </w:r>
    </w:p>
    <w:p w14:paraId="5C05283A" w14:textId="558E2223" w:rsidR="002B2D49" w:rsidRDefault="2CAB4734" w:rsidP="002B2D49">
      <w:pPr>
        <w:pStyle w:val="BodyText"/>
        <w:jc w:val="center"/>
      </w:pPr>
      <w:r>
        <w:rPr>
          <w:noProof/>
        </w:rPr>
        <w:lastRenderedPageBreak/>
        <w:drawing>
          <wp:inline distT="0" distB="0" distL="0" distR="0" wp14:anchorId="0B757DB6" wp14:editId="08EEE4FB">
            <wp:extent cx="5029200" cy="3703320"/>
            <wp:effectExtent l="0" t="0" r="0" b="0"/>
            <wp:docPr id="936694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pic:nvPicPr>
                  <pic:blipFill>
                    <a:blip r:embed="rId13">
                      <a:extLst>
                        <a:ext uri="{28A0092B-C50C-407E-A947-70E740481C1C}">
                          <a14:useLocalDpi xmlns:a14="http://schemas.microsoft.com/office/drawing/2010/main" val="0"/>
                        </a:ext>
                      </a:extLst>
                    </a:blip>
                    <a:stretch>
                      <a:fillRect/>
                    </a:stretch>
                  </pic:blipFill>
                  <pic:spPr>
                    <a:xfrm>
                      <a:off x="0" y="0"/>
                      <a:ext cx="5029200" cy="3703320"/>
                    </a:xfrm>
                    <a:prstGeom prst="rect">
                      <a:avLst/>
                    </a:prstGeom>
                  </pic:spPr>
                </pic:pic>
              </a:graphicData>
            </a:graphic>
          </wp:inline>
        </w:drawing>
      </w:r>
    </w:p>
    <w:p w14:paraId="52072504" w14:textId="42B4E3B2" w:rsidR="005C54C8" w:rsidRPr="004370BD" w:rsidRDefault="005C54C8" w:rsidP="00A743A7">
      <w:pPr>
        <w:pStyle w:val="TF"/>
        <w:spacing w:before="120"/>
        <w:jc w:val="both"/>
        <w:rPr>
          <w:lang w:val="en-US"/>
        </w:rPr>
      </w:pPr>
      <w:bookmarkStart w:id="49" w:name="_Ref46233016"/>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CF206F">
        <w:rPr>
          <w:noProof/>
          <w:lang w:val="en-US"/>
        </w:rPr>
        <w:t>1</w:t>
      </w:r>
      <w:r w:rsidRPr="00731273">
        <w:rPr>
          <w:lang w:val="en-US"/>
        </w:rPr>
        <w:fldChar w:fldCharType="end"/>
      </w:r>
      <w:bookmarkEnd w:id="49"/>
      <w:r w:rsidRPr="00731273">
        <w:rPr>
          <w:lang w:val="en-US"/>
        </w:rPr>
        <w:t>:</w:t>
      </w:r>
      <w:r>
        <w:rPr>
          <w:lang w:val="en-US"/>
        </w:rPr>
        <w:t xml:space="preserve"> </w:t>
      </w:r>
      <w:r w:rsidR="002D01EF">
        <w:rPr>
          <w:rFonts w:hint="eastAsia"/>
          <w:bCs/>
        </w:rPr>
        <w:t xml:space="preserve">Channelization used by </w:t>
      </w:r>
      <w:r w:rsidR="002D01EF">
        <w:rPr>
          <w:rFonts w:eastAsia="SimSun" w:hint="eastAsia"/>
          <w:bCs/>
          <w:lang w:val="en-US" w:eastAsia="zh-CN"/>
        </w:rPr>
        <w:t>IEEE 802.11ay</w:t>
      </w:r>
      <w:r w:rsidR="009761E1">
        <w:rPr>
          <w:lang w:val="en-US"/>
        </w:rPr>
        <w:t xml:space="preserve">. </w:t>
      </w:r>
      <w:r w:rsidR="00474D2A">
        <w:rPr>
          <w:lang w:val="en-US"/>
        </w:rPr>
        <w:t>It can be observed that channels with bandwidths &gt;2.16 GHz overlap with each other.</w:t>
      </w:r>
    </w:p>
    <w:p w14:paraId="0D75CD1F" w14:textId="77777777" w:rsidR="00E62361" w:rsidRDefault="00E62361" w:rsidP="00DA787C">
      <w:pPr>
        <w:pStyle w:val="BodyText"/>
      </w:pPr>
    </w:p>
    <w:p w14:paraId="770A126D" w14:textId="429B8B93" w:rsidR="00DA787C" w:rsidRDefault="00DA787C" w:rsidP="00DA787C">
      <w:pPr>
        <w:pStyle w:val="BodyText"/>
      </w:pPr>
      <w:r w:rsidRPr="00EA0A41">
        <w:t xml:space="preserve">For indoor mobility use cases, path losses are generally lower because of limited environment sizes. For fixed deployment use cases, regulations generally allow/require </w:t>
      </w:r>
      <w:r>
        <w:t>large</w:t>
      </w:r>
      <w:r w:rsidRPr="00EA0A41">
        <w:t xml:space="preserve"> beamforming gains</w:t>
      </w:r>
      <w:r>
        <w:t>, i.e.,</w:t>
      </w:r>
      <w:r w:rsidRPr="00EA0A41">
        <w:t xml:space="preserve"> </w:t>
      </w:r>
      <w:r>
        <w:t>high</w:t>
      </w:r>
      <w:r w:rsidRPr="00EA0A41">
        <w:t xml:space="preserve"> EIRP. For both deployments and use cases, there can be high enough received powers to benefit from operating a large system bandwidth. As a reference for indoor use cases, the IEEE 802.11ad system operates a carrier bandwidth of 2.16 GHz. Further evolution in the 802.11ay specs introduced support of 4.32 </w:t>
      </w:r>
      <w:r>
        <w:t xml:space="preserve">GHz </w:t>
      </w:r>
      <w:r w:rsidRPr="00EA0A41">
        <w:t xml:space="preserve">carrier bandwidth. However, operating at such large bandwidths limits the useable ranges and user experience severely. It is observed that the </w:t>
      </w:r>
      <w:r>
        <w:t xml:space="preserve">802.11ad </w:t>
      </w:r>
      <w:r w:rsidRPr="00EA0A41">
        <w:t>system can only be operated within the same room and at a distance of no more than 10 m</w:t>
      </w:r>
      <w:r>
        <w:t xml:space="preserve"> </w:t>
      </w:r>
      <w:r>
        <w:fldChar w:fldCharType="begin"/>
      </w:r>
      <w:r>
        <w:instrText xml:space="preserve"> REF _Ref40272835 \r \h </w:instrText>
      </w:r>
      <w:r>
        <w:fldChar w:fldCharType="separate"/>
      </w:r>
      <w:r w:rsidR="00CF206F">
        <w:t>[13]</w:t>
      </w:r>
      <w:r>
        <w:fldChar w:fldCharType="end"/>
      </w:r>
      <w:r>
        <w:fldChar w:fldCharType="begin"/>
      </w:r>
      <w:r>
        <w:instrText xml:space="preserve"> REF _Ref40272838 \r \h </w:instrText>
      </w:r>
      <w:r>
        <w:fldChar w:fldCharType="separate"/>
      </w:r>
      <w:r w:rsidR="00CF206F">
        <w:t>[14]</w:t>
      </w:r>
      <w:r>
        <w:fldChar w:fldCharType="end"/>
      </w:r>
      <w:r>
        <w:fldChar w:fldCharType="begin"/>
      </w:r>
      <w:r>
        <w:instrText xml:space="preserve"> REF _Ref40272840 \r \h </w:instrText>
      </w:r>
      <w:r>
        <w:fldChar w:fldCharType="separate"/>
      </w:r>
      <w:r w:rsidR="00CF206F">
        <w:t>[15]</w:t>
      </w:r>
      <w:r>
        <w:fldChar w:fldCharType="end"/>
      </w:r>
      <w:r w:rsidRPr="00EA0A41">
        <w:t xml:space="preserve">. </w:t>
      </w:r>
      <w:r w:rsidRPr="00A743A7">
        <w:rPr>
          <w:b/>
          <w:bCs/>
        </w:rPr>
        <w:t xml:space="preserve">Judging from the market </w:t>
      </w:r>
      <w:r w:rsidR="00820969">
        <w:rPr>
          <w:b/>
          <w:bCs/>
        </w:rPr>
        <w:t>experience</w:t>
      </w:r>
      <w:r w:rsidRPr="00A743A7">
        <w:rPr>
          <w:b/>
          <w:bCs/>
        </w:rPr>
        <w:t>, there is little evidence that supporting such a large bandwidth is beneficial</w:t>
      </w:r>
      <w:r w:rsidRPr="00EA0A41">
        <w:t>.</w:t>
      </w:r>
    </w:p>
    <w:p w14:paraId="22DA424A" w14:textId="34860A3A" w:rsidR="00911BA6" w:rsidRDefault="00E563B5" w:rsidP="00DA787C">
      <w:pPr>
        <w:pStyle w:val="BodyText"/>
      </w:pPr>
      <w:r>
        <w:t xml:space="preserve">In fact, </w:t>
      </w:r>
      <w:r w:rsidRPr="00A743A7">
        <w:rPr>
          <w:b/>
          <w:bCs/>
        </w:rPr>
        <w:t>there are many technical problems associated with very large channel bandwidths</w:t>
      </w:r>
      <w:r>
        <w:t xml:space="preserve">. </w:t>
      </w:r>
      <w:r w:rsidRPr="00EA0A41">
        <w:t>Power amplifier (PA) performance generally degrades with large bandwidths. It is also difficult to realize linearization needed for higher order modulation over large bandwidths. Directivity of multiple antenna transmissions can vary across a wide bandwidth. All these factors limit the efficiency and impact the thermal aspects of the transmitters to achieve the desired EIRP targets. On the receiver side, we observe that noise figure, linearity and other receiver characteristics have significant dependence on the bandwidth. For instance, power consumption of the ADC can grow quadratically with the bandwidth, representing a large drain the mobile batteries.</w:t>
      </w:r>
    </w:p>
    <w:p w14:paraId="0269BB82" w14:textId="5F53DABD" w:rsidR="00921083" w:rsidRDefault="00E62361" w:rsidP="003550F1">
      <w:pPr>
        <w:pStyle w:val="BodyText"/>
      </w:pPr>
      <w:r>
        <w:t xml:space="preserve">Furthermore, </w:t>
      </w:r>
      <w:r w:rsidR="0014350A">
        <w:t xml:space="preserve">a </w:t>
      </w:r>
      <w:r>
        <w:t xml:space="preserve">2.16 GHz </w:t>
      </w:r>
      <w:r w:rsidR="0014350A">
        <w:t xml:space="preserve">channel bandwidth </w:t>
      </w:r>
      <w:r>
        <w:t>is</w:t>
      </w:r>
      <w:r w:rsidR="0079146A">
        <w:t>,</w:t>
      </w:r>
      <w:r>
        <w:t xml:space="preserve"> </w:t>
      </w:r>
      <w:r w:rsidR="0079146A">
        <w:t xml:space="preserve">in fact, </w:t>
      </w:r>
      <w:r>
        <w:t xml:space="preserve">not compatible with 3GPP numerology. </w:t>
      </w:r>
      <w:r w:rsidR="00AC2B90" w:rsidRPr="00EA0A41">
        <w:t xml:space="preserve">Using the same 4096 FFT size as Rel-15 NR, the addressable transmission bandwidths for different sub-carrier spacings (SCS) are tabulated in </w:t>
      </w:r>
      <w:r w:rsidR="00A175B5">
        <w:fldChar w:fldCharType="begin"/>
      </w:r>
      <w:r w:rsidR="00A175B5">
        <w:instrText xml:space="preserve"> REF _Ref46235935 \h </w:instrText>
      </w:r>
      <w:r w:rsidR="00A175B5">
        <w:fldChar w:fldCharType="separate"/>
      </w:r>
      <w:r w:rsidR="00CF206F">
        <w:t>Figure</w:t>
      </w:r>
      <w:r w:rsidR="00CF206F" w:rsidRPr="00731273">
        <w:t xml:space="preserve"> </w:t>
      </w:r>
      <w:r w:rsidR="00CF206F">
        <w:rPr>
          <w:noProof/>
        </w:rPr>
        <w:t>2</w:t>
      </w:r>
      <w:r w:rsidR="00A175B5">
        <w:fldChar w:fldCharType="end"/>
      </w:r>
      <w:r w:rsidR="00AC2B90">
        <w:t>.</w:t>
      </w:r>
      <w:r w:rsidR="00A175B5">
        <w:t xml:space="preserve"> </w:t>
      </w:r>
    </w:p>
    <w:p w14:paraId="4CD41C37" w14:textId="464EB093" w:rsidR="00AC2B90" w:rsidRPr="004370BD" w:rsidRDefault="00AC2B90" w:rsidP="00AC2B90">
      <w:pPr>
        <w:pStyle w:val="TF"/>
        <w:spacing w:before="120"/>
        <w:rPr>
          <w:lang w:val="en-US"/>
        </w:rPr>
      </w:pPr>
      <w:bookmarkStart w:id="50" w:name="_Ref46235935"/>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CF206F">
        <w:rPr>
          <w:noProof/>
          <w:lang w:val="en-US"/>
        </w:rPr>
        <w:t>2</w:t>
      </w:r>
      <w:r w:rsidRPr="00731273">
        <w:rPr>
          <w:lang w:val="en-US"/>
        </w:rPr>
        <w:fldChar w:fldCharType="end"/>
      </w:r>
      <w:bookmarkEnd w:id="50"/>
      <w:r w:rsidRPr="00731273">
        <w:rPr>
          <w:lang w:val="en-US"/>
        </w:rPr>
        <w:t>:</w:t>
      </w:r>
      <w:r>
        <w:rPr>
          <w:lang w:val="en-US"/>
        </w:rPr>
        <w:t xml:space="preserve"> Maximum addressable system bandwidth assuming 4096 FFT size</w:t>
      </w:r>
    </w:p>
    <w:tbl>
      <w:tblPr>
        <w:tblStyle w:val="TableGrid"/>
        <w:tblW w:w="0" w:type="auto"/>
        <w:tblInd w:w="625" w:type="dxa"/>
        <w:tblLook w:val="04A0" w:firstRow="1" w:lastRow="0" w:firstColumn="1" w:lastColumn="0" w:noHBand="0" w:noVBand="1"/>
      </w:tblPr>
      <w:tblGrid>
        <w:gridCol w:w="2605"/>
        <w:gridCol w:w="1170"/>
        <w:gridCol w:w="1171"/>
        <w:gridCol w:w="1171"/>
        <w:gridCol w:w="1170"/>
        <w:gridCol w:w="1171"/>
      </w:tblGrid>
      <w:tr w:rsidR="00AC2B90" w:rsidRPr="003D63C4" w14:paraId="0007168F" w14:textId="77777777" w:rsidTr="00072047">
        <w:tc>
          <w:tcPr>
            <w:tcW w:w="2605" w:type="dxa"/>
            <w:vAlign w:val="center"/>
          </w:tcPr>
          <w:p w14:paraId="004B5AE7"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SCS [kHz]</w:t>
            </w:r>
          </w:p>
        </w:tc>
        <w:tc>
          <w:tcPr>
            <w:tcW w:w="1170" w:type="dxa"/>
            <w:vAlign w:val="center"/>
          </w:tcPr>
          <w:p w14:paraId="65EAF920"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120</w:t>
            </w:r>
          </w:p>
        </w:tc>
        <w:tc>
          <w:tcPr>
            <w:tcW w:w="1171" w:type="dxa"/>
            <w:vAlign w:val="center"/>
          </w:tcPr>
          <w:p w14:paraId="02643D16"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240</w:t>
            </w:r>
          </w:p>
        </w:tc>
        <w:tc>
          <w:tcPr>
            <w:tcW w:w="1171" w:type="dxa"/>
            <w:vAlign w:val="center"/>
          </w:tcPr>
          <w:p w14:paraId="5A882B8A"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480</w:t>
            </w:r>
          </w:p>
        </w:tc>
        <w:tc>
          <w:tcPr>
            <w:tcW w:w="1170" w:type="dxa"/>
            <w:vAlign w:val="center"/>
          </w:tcPr>
          <w:p w14:paraId="34FB2FF7"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960</w:t>
            </w:r>
          </w:p>
        </w:tc>
        <w:tc>
          <w:tcPr>
            <w:tcW w:w="1171" w:type="dxa"/>
            <w:vAlign w:val="center"/>
          </w:tcPr>
          <w:p w14:paraId="236BF79D"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1920</w:t>
            </w:r>
          </w:p>
        </w:tc>
      </w:tr>
      <w:tr w:rsidR="00AC2B90" w:rsidRPr="003D63C4" w14:paraId="1DAC922E" w14:textId="77777777" w:rsidTr="00072047">
        <w:tc>
          <w:tcPr>
            <w:tcW w:w="2605" w:type="dxa"/>
            <w:vAlign w:val="center"/>
          </w:tcPr>
          <w:p w14:paraId="2AF91B3B" w14:textId="77777777" w:rsidR="00AC2B90" w:rsidRPr="003D63C4" w:rsidRDefault="00AC2B90" w:rsidP="00072047">
            <w:pPr>
              <w:pStyle w:val="BodyText"/>
              <w:spacing w:before="40" w:after="40"/>
              <w:jc w:val="center"/>
              <w:rPr>
                <w:rFonts w:cs="Arial"/>
              </w:rPr>
            </w:pPr>
            <w:r>
              <w:rPr>
                <w:rFonts w:cs="Arial"/>
                <w:color w:val="000000" w:themeColor="text1"/>
                <w:kern w:val="24"/>
              </w:rPr>
              <w:t xml:space="preserve">Addressable BW </w:t>
            </w:r>
            <w:r w:rsidRPr="003D63C4">
              <w:rPr>
                <w:rFonts w:cs="Arial"/>
                <w:color w:val="000000" w:themeColor="text1"/>
                <w:kern w:val="24"/>
              </w:rPr>
              <w:t>[GHz]</w:t>
            </w:r>
          </w:p>
        </w:tc>
        <w:tc>
          <w:tcPr>
            <w:tcW w:w="1170" w:type="dxa"/>
            <w:vAlign w:val="center"/>
          </w:tcPr>
          <w:p w14:paraId="31967184"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0.40</w:t>
            </w:r>
          </w:p>
        </w:tc>
        <w:tc>
          <w:tcPr>
            <w:tcW w:w="1171" w:type="dxa"/>
            <w:vAlign w:val="center"/>
          </w:tcPr>
          <w:p w14:paraId="738D9636"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0.</w:t>
            </w:r>
            <w:r>
              <w:rPr>
                <w:rFonts w:eastAsiaTheme="minorEastAsia" w:cs="Arial"/>
                <w:color w:val="000000" w:themeColor="text1"/>
                <w:kern w:val="24"/>
              </w:rPr>
              <w:t>8</w:t>
            </w:r>
          </w:p>
        </w:tc>
        <w:tc>
          <w:tcPr>
            <w:tcW w:w="1171" w:type="dxa"/>
            <w:vAlign w:val="center"/>
          </w:tcPr>
          <w:p w14:paraId="19C89DD7"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1.</w:t>
            </w:r>
            <w:r>
              <w:rPr>
                <w:rFonts w:eastAsiaTheme="minorEastAsia" w:cs="Arial"/>
                <w:color w:val="000000" w:themeColor="text1"/>
                <w:kern w:val="24"/>
              </w:rPr>
              <w:t>6</w:t>
            </w:r>
          </w:p>
        </w:tc>
        <w:tc>
          <w:tcPr>
            <w:tcW w:w="1170" w:type="dxa"/>
            <w:vAlign w:val="center"/>
          </w:tcPr>
          <w:p w14:paraId="405BFD46"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3.</w:t>
            </w:r>
            <w:r>
              <w:rPr>
                <w:rFonts w:eastAsiaTheme="minorEastAsia" w:cs="Arial"/>
                <w:color w:val="000000" w:themeColor="text1"/>
                <w:kern w:val="24"/>
              </w:rPr>
              <w:t>2</w:t>
            </w:r>
          </w:p>
        </w:tc>
        <w:tc>
          <w:tcPr>
            <w:tcW w:w="1171" w:type="dxa"/>
            <w:vAlign w:val="center"/>
          </w:tcPr>
          <w:p w14:paraId="24103ACD"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6.</w:t>
            </w:r>
            <w:r>
              <w:rPr>
                <w:rFonts w:eastAsiaTheme="minorEastAsia" w:cs="Arial"/>
                <w:color w:val="000000" w:themeColor="text1"/>
                <w:kern w:val="24"/>
              </w:rPr>
              <w:t>4</w:t>
            </w:r>
          </w:p>
        </w:tc>
      </w:tr>
    </w:tbl>
    <w:p w14:paraId="22D1CCF7" w14:textId="77777777" w:rsidR="00AC2B90" w:rsidRDefault="00AC2B90" w:rsidP="00E62361">
      <w:pPr>
        <w:pStyle w:val="BodyText"/>
      </w:pPr>
    </w:p>
    <w:p w14:paraId="650B68AC" w14:textId="00087C46" w:rsidR="00921083" w:rsidRDefault="00921083" w:rsidP="00921083">
      <w:pPr>
        <w:pStyle w:val="BodyText"/>
      </w:pPr>
      <w:r>
        <w:t xml:space="preserve">For the 120 kHz SCS, 400 MHz </w:t>
      </w:r>
      <w:r w:rsidR="00DC08C8">
        <w:t xml:space="preserve">bandwidth </w:t>
      </w:r>
      <w:r>
        <w:t xml:space="preserve">is addressable. For the 480 and 960 kHz SCS, 1.6 and 3.2 GHz bandwidths are addressable. That is, 3GPP numerologies are designed in general to support around 77% </w:t>
      </w:r>
      <w:r w:rsidRPr="0096049A">
        <w:t>FFT utilization</w:t>
      </w:r>
      <w:r>
        <w:t xml:space="preserve">. As discussed in </w:t>
      </w:r>
      <w:r>
        <w:fldChar w:fldCharType="begin"/>
      </w:r>
      <w:r>
        <w:instrText xml:space="preserve"> REF _Ref46234418 \r \h </w:instrText>
      </w:r>
      <w:r>
        <w:fldChar w:fldCharType="separate"/>
      </w:r>
      <w:r w:rsidR="00CF206F">
        <w:t>[4]</w:t>
      </w:r>
      <w:r>
        <w:fldChar w:fldCharType="end"/>
      </w:r>
      <w:r w:rsidR="006D6491">
        <w:t>:</w:t>
      </w:r>
      <w:r>
        <w:t xml:space="preserve"> “a</w:t>
      </w:r>
      <w:r w:rsidRPr="0096049A">
        <w:t>t a 2</w:t>
      </w:r>
      <w:r>
        <w:t xml:space="preserve"> </w:t>
      </w:r>
      <w:r w:rsidRPr="0096049A">
        <w:t xml:space="preserve">GHz nominal bandwidth, use of 480 kHz is difficult as it requires an FFT utilization of 96.68%. </w:t>
      </w:r>
      <w:r w:rsidR="008F635A">
        <w:t xml:space="preserve">While </w:t>
      </w:r>
      <w:r w:rsidRPr="0096049A">
        <w:t>960 kHz may be used</w:t>
      </w:r>
      <w:r w:rsidR="008F635A">
        <w:t>,</w:t>
      </w:r>
      <w:r w:rsidRPr="0096049A">
        <w:t xml:space="preserve"> </w:t>
      </w:r>
      <w:r w:rsidR="008F635A">
        <w:t>t</w:t>
      </w:r>
      <w:r w:rsidRPr="0096049A">
        <w:t xml:space="preserve">he disadvantage is that the %FFT utilization in this case is </w:t>
      </w:r>
      <w:r w:rsidRPr="0096049A">
        <w:lastRenderedPageBreak/>
        <w:t>very low at 48.34%.</w:t>
      </w:r>
      <w:r>
        <w:t xml:space="preserve">” That is, </w:t>
      </w:r>
      <w:r w:rsidRPr="0096049A">
        <w:rPr>
          <w:b/>
          <w:bCs/>
        </w:rPr>
        <w:t>forcing a 2.16 GHz channel bandwidth into the 3GPP numerology causes either implementation difficulty or excessive computation overheads</w:t>
      </w:r>
      <w:r>
        <w:t>.</w:t>
      </w:r>
    </w:p>
    <w:p w14:paraId="42E4F8D3" w14:textId="77777777" w:rsidR="00B17E30" w:rsidRPr="00A743A7" w:rsidRDefault="00B17E30" w:rsidP="00E62361">
      <w:pPr>
        <w:pStyle w:val="BodyText"/>
        <w:rPr>
          <w:sz w:val="18"/>
          <w:szCs w:val="18"/>
        </w:rPr>
      </w:pPr>
    </w:p>
    <w:p w14:paraId="1F8E9F83" w14:textId="77777777" w:rsidR="000411DE" w:rsidRPr="001B36D6" w:rsidRDefault="000411DE" w:rsidP="00F94015">
      <w:pPr>
        <w:pStyle w:val="Observation"/>
        <w:tabs>
          <w:tab w:val="left" w:pos="1530"/>
        </w:tabs>
        <w:overflowPunct/>
        <w:autoSpaceDE/>
        <w:autoSpaceDN/>
        <w:adjustRightInd/>
        <w:spacing w:line="259" w:lineRule="auto"/>
        <w:ind w:left="1530" w:hanging="1530"/>
        <w:textAlignment w:val="auto"/>
      </w:pPr>
      <w:bookmarkStart w:id="51" w:name="_Toc46239036"/>
      <w:bookmarkStart w:id="52" w:name="_Toc47712017"/>
      <w:r>
        <w:t>Targeting a large bandwidth that is incompatible with 3GPP numerology (e.g., 2.16 GHz) is not beneficial to NR operation in the 52.6 to 71 GHz range</w:t>
      </w:r>
      <w:bookmarkStart w:id="53" w:name="_Toc46239037"/>
      <w:bookmarkEnd w:id="51"/>
      <w:r w:rsidRPr="001078E8">
        <w:rPr>
          <w:lang w:val="en-GB"/>
        </w:rPr>
        <w:t>.</w:t>
      </w:r>
      <w:bookmarkEnd w:id="53"/>
      <w:bookmarkEnd w:id="52"/>
    </w:p>
    <w:p w14:paraId="7FA314CD" w14:textId="77777777" w:rsidR="00053EAA" w:rsidRDefault="00053EAA" w:rsidP="00DA787C">
      <w:pPr>
        <w:pStyle w:val="BodyText"/>
      </w:pPr>
    </w:p>
    <w:p w14:paraId="4FCFFE25" w14:textId="21292F82" w:rsidR="00B40CD3" w:rsidRDefault="00DA787C" w:rsidP="00DA787C">
      <w:pPr>
        <w:pStyle w:val="BodyText"/>
      </w:pPr>
      <w:r w:rsidRPr="00EA0A41">
        <w:t xml:space="preserve">For outdoor mobility use cases, it is beneficial to restrict the transmission bandwidths to obtain adequate received signal to noise ratios for reliable system operations </w:t>
      </w:r>
      <w:r>
        <w:t>for</w:t>
      </w:r>
      <w:r w:rsidRPr="00EA0A41">
        <w:t xml:space="preserve"> </w:t>
      </w:r>
      <w:r>
        <w:t>a</w:t>
      </w:r>
      <w:r w:rsidRPr="00EA0A41">
        <w:t xml:space="preserve"> target </w:t>
      </w:r>
      <w:r>
        <w:t>site</w:t>
      </w:r>
      <w:r w:rsidRPr="00EA0A41">
        <w:t xml:space="preserve"> density. Region I regulation for 57 – 66 GHz stipulates mean EIRP limit of 40 dBm as well as a</w:t>
      </w:r>
      <w:r>
        <w:t xml:space="preserve"> maximum</w:t>
      </w:r>
      <w:r w:rsidRPr="00EA0A41">
        <w:t xml:space="preserve"> power spectral density of 23 dBm/MHz. Hence, a minimum of 50 MHz transmission bandwidth is needed to deploy transmissions at the allowed EIRP limit</w:t>
      </w:r>
      <w:r>
        <w:t xml:space="preserve"> and maximum PSD</w:t>
      </w:r>
      <w:r w:rsidRPr="00EA0A41">
        <w:t xml:space="preserve">. North America regulations for 57 – 71 GHz restrict the maximum conducted output power at 27 dBm if the emission bandwidth is at least 100 MHz. The maximum conducted output power is reduced proportionally with the emission bandwidth otherwise. Therefore, coverage can be optimized by a transmission of 100 MHz. To enable NR operation in the 57 – 71 GHz bands with greater range, mobility and user experience, it is necessary to address the trade-off between peak rate, coverage and robustness carefully in the 3GPP SI and WI. </w:t>
      </w:r>
      <w:r w:rsidR="008A05F5" w:rsidRPr="00EA0A41">
        <w:t xml:space="preserve">In summary, </w:t>
      </w:r>
      <w:r w:rsidR="008A05F5" w:rsidRPr="00A743A7">
        <w:rPr>
          <w:b/>
          <w:bCs/>
        </w:rPr>
        <w:t>NR operations in the frequency range of 57 – 71 GHz should enable a range of system bandwidths suitable for reliable and robust mobile use case in indoor as well as outdoor environments</w:t>
      </w:r>
      <w:r w:rsidR="008A05F5" w:rsidRPr="00EA0A41">
        <w:t>.</w:t>
      </w:r>
    </w:p>
    <w:p w14:paraId="0CBE9B3D" w14:textId="5ED04DE5" w:rsidR="000E585F" w:rsidRDefault="005A0988" w:rsidP="00DA787C">
      <w:pPr>
        <w:pStyle w:val="BodyText"/>
      </w:pPr>
      <w:r>
        <w:t xml:space="preserve">As shown in </w:t>
      </w:r>
      <w:r w:rsidR="00607D79">
        <w:fldChar w:fldCharType="begin"/>
      </w:r>
      <w:r w:rsidR="00607D79">
        <w:instrText xml:space="preserve"> REF _Ref46235935 \h </w:instrText>
      </w:r>
      <w:r w:rsidR="00607D79">
        <w:fldChar w:fldCharType="separate"/>
      </w:r>
      <w:r w:rsidR="00CF206F">
        <w:t>Figure</w:t>
      </w:r>
      <w:r w:rsidR="00CF206F" w:rsidRPr="00731273">
        <w:t xml:space="preserve"> </w:t>
      </w:r>
      <w:r w:rsidR="00CF206F">
        <w:rPr>
          <w:noProof/>
        </w:rPr>
        <w:t>2</w:t>
      </w:r>
      <w:r w:rsidR="00607D79">
        <w:fldChar w:fldCharType="end"/>
      </w:r>
      <w:r w:rsidR="005D25F7">
        <w:t xml:space="preserve">, channel bandwidth up to 1.6 GHz can be realized with </w:t>
      </w:r>
      <w:r w:rsidR="00A877AF">
        <w:t>480 kHz</w:t>
      </w:r>
      <w:r w:rsidR="005D25F7">
        <w:t xml:space="preserve"> </w:t>
      </w:r>
      <w:r w:rsidR="00E34FCB">
        <w:t>SCS.</w:t>
      </w:r>
      <w:r w:rsidR="000754FF">
        <w:t xml:space="preserve"> </w:t>
      </w:r>
      <w:r w:rsidR="00832819">
        <w:t xml:space="preserve">To address even wider bandwidths, carrier aggregation can be used. </w:t>
      </w:r>
      <w:r w:rsidR="00A877AF">
        <w:t xml:space="preserve">Current NR specifications is written based on a maximum SCS of </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=480</m:t>
        </m:r>
      </m:oMath>
      <w:r w:rsidR="00A877AF">
        <w:t xml:space="preserve"> kHz</w:t>
      </w:r>
      <w:r w:rsidR="00160866">
        <w:t xml:space="preserve"> and all timings are defined </w:t>
      </w:r>
      <w:r w:rsidR="008A486B">
        <w:t xml:space="preserve">using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⋅4096)</m:t>
        </m:r>
      </m:oMath>
      <w:r w:rsidR="008A486B">
        <w:t>.</w:t>
      </w:r>
      <w:r w:rsidR="00027A55">
        <w:t xml:space="preserve"> </w:t>
      </w:r>
      <w:r w:rsidR="00A877AF">
        <w:t xml:space="preserve">Adopting </w:t>
      </w:r>
      <w:r w:rsidR="00A4625B">
        <w:t>an even large</w:t>
      </w:r>
      <w:r w:rsidR="00E76521">
        <w:t>r</w:t>
      </w:r>
      <w:r w:rsidR="00A4625B">
        <w:t xml:space="preserve"> SCS will necessitate fundamental and comprehensive changes to the NR specifications. </w:t>
      </w:r>
      <w:r w:rsidR="00C81381">
        <w:t>In our view, such changes can only be justified with</w:t>
      </w:r>
      <w:r w:rsidR="00C17A5C">
        <w:t xml:space="preserve"> </w:t>
      </w:r>
      <w:r w:rsidR="00567C4D">
        <w:t xml:space="preserve">an </w:t>
      </w:r>
      <w:r w:rsidR="00C17A5C">
        <w:t>overwhelming benefit</w:t>
      </w:r>
      <w:r w:rsidR="00027A55">
        <w:t>-</w:t>
      </w:r>
      <w:r w:rsidR="00C17A5C">
        <w:t>over</w:t>
      </w:r>
      <w:r w:rsidR="00027A55">
        <w:t>-</w:t>
      </w:r>
      <w:r w:rsidR="00C17A5C">
        <w:t>cost</w:t>
      </w:r>
      <w:r w:rsidR="00027A55">
        <w:t xml:space="preserve"> ratio </w:t>
      </w:r>
      <w:r w:rsidR="00C17A5C">
        <w:t>assessment.</w:t>
      </w:r>
    </w:p>
    <w:p w14:paraId="595E8501" w14:textId="0F199E5E" w:rsidR="00644FEB" w:rsidRDefault="00644FEB" w:rsidP="008A2C71">
      <w:pPr>
        <w:pStyle w:val="BodyText"/>
      </w:pPr>
    </w:p>
    <w:p w14:paraId="64DD3BD6" w14:textId="72017570" w:rsidR="00C82B37" w:rsidRPr="00EA0A41" w:rsidRDefault="00F44AD8" w:rsidP="00A743A7">
      <w:pPr>
        <w:pStyle w:val="Proposal"/>
      </w:pPr>
      <w:bookmarkStart w:id="54" w:name="_Toc47712037"/>
      <w:r>
        <w:t xml:space="preserve">Consider </w:t>
      </w:r>
      <w:r w:rsidR="00FE729D">
        <w:t>channel bandwidth</w:t>
      </w:r>
      <w:r w:rsidR="00D737B3">
        <w:t>s</w:t>
      </w:r>
      <w:r w:rsidR="00FE729D">
        <w:t xml:space="preserve"> up to 1.6 GHz for NR operation in 52.6 to 71 GHz</w:t>
      </w:r>
      <w:r w:rsidR="00403087">
        <w:t>.</w:t>
      </w:r>
      <w:bookmarkEnd w:id="54"/>
    </w:p>
    <w:p w14:paraId="36165273" w14:textId="77777777" w:rsidR="002923EA" w:rsidRDefault="002923EA" w:rsidP="002923EA">
      <w:pPr>
        <w:pStyle w:val="BodyText"/>
      </w:pPr>
    </w:p>
    <w:p w14:paraId="3B4116D8" w14:textId="3E316FE0" w:rsidR="008A2C71" w:rsidRDefault="00C02300" w:rsidP="008A2C71">
      <w:pPr>
        <w:pStyle w:val="Heading1"/>
      </w:pPr>
      <w:bookmarkStart w:id="55" w:name="_Toc46307392"/>
      <w:bookmarkStart w:id="56" w:name="_Toc47530170"/>
      <w:r>
        <w:t>3</w:t>
      </w:r>
      <w:r w:rsidR="008A2C71">
        <w:tab/>
      </w:r>
      <w:r w:rsidR="00DA787C">
        <w:t>S</w:t>
      </w:r>
      <w:r w:rsidR="008A2C71">
        <w:t>ub-carrier spacing</w:t>
      </w:r>
      <w:r w:rsidR="00DA787C">
        <w:t xml:space="preserve"> selection</w:t>
      </w:r>
      <w:bookmarkEnd w:id="55"/>
      <w:bookmarkEnd w:id="56"/>
    </w:p>
    <w:p w14:paraId="4B163FF9" w14:textId="5E9919FE" w:rsidR="008A2C71" w:rsidRDefault="008A2C71" w:rsidP="008A2C71">
      <w:pPr>
        <w:pStyle w:val="BodyText"/>
      </w:pPr>
      <w:r w:rsidRPr="00EA0A41">
        <w:t xml:space="preserve">The frequency range of 57 – 71 GHz provides a large amount of spectrum for </w:t>
      </w:r>
      <w:r w:rsidR="008F635A">
        <w:t xml:space="preserve">NR </w:t>
      </w:r>
      <w:r w:rsidRPr="00EA0A41">
        <w:t xml:space="preserve">operations. </w:t>
      </w:r>
      <w:r>
        <w:t>However, o</w:t>
      </w:r>
      <w:r w:rsidRPr="0089600E">
        <w:t xml:space="preserve">peration on bands in </w:t>
      </w:r>
      <w:r>
        <w:t xml:space="preserve">this </w:t>
      </w:r>
      <w:r w:rsidRPr="0089600E">
        <w:t>frequenc</w:t>
      </w:r>
      <w:r>
        <w:t>y range</w:t>
      </w:r>
      <w:r w:rsidRPr="0089600E">
        <w:t xml:space="preserve"> </w:t>
      </w:r>
      <w:r>
        <w:t xml:space="preserve">are </w:t>
      </w:r>
      <w:r w:rsidRPr="0089600E">
        <w:t xml:space="preserve">limited by </w:t>
      </w:r>
      <w:r>
        <w:t>practical</w:t>
      </w:r>
      <w:r w:rsidRPr="0089600E">
        <w:t xml:space="preserve"> </w:t>
      </w:r>
      <w:r>
        <w:t xml:space="preserve">device </w:t>
      </w:r>
      <w:r w:rsidRPr="0089600E">
        <w:t>performance</w:t>
      </w:r>
      <w:r>
        <w:t>. F</w:t>
      </w:r>
      <w:r w:rsidRPr="0089600E">
        <w:t>or example, poor power amplifier (PA) efficiency and larger phase noise impairment, increased front-end insertion loss together with the low noise amplifier (LNA) and analog-to-digital converter (ADC) noise</w:t>
      </w:r>
      <w:r>
        <w:t xml:space="preserve"> present particular challenges</w:t>
      </w:r>
      <w:r w:rsidRPr="0089600E">
        <w:t xml:space="preserve">. </w:t>
      </w:r>
      <w:r>
        <w:t xml:space="preserve">Furthermore, </w:t>
      </w:r>
      <w:r w:rsidRPr="00EA0A41">
        <w:t>to optimize NR operations for different deployment and use cases in this frequency range, the SI and WI should consider and incorporate system designs and parameters that are beneficial for the different use case archetypes</w:t>
      </w:r>
      <w:r>
        <w:t>. In this section, we provide our analysis on the various important factors that should be considered in the selection of sub-carrier spacings for NR operation in the 52.6 – 71 GHz range</w:t>
      </w:r>
      <w:r w:rsidR="00CA7E3B">
        <w:t xml:space="preserve"> including</w:t>
      </w:r>
    </w:p>
    <w:p w14:paraId="702F7F32" w14:textId="1C1AC532" w:rsidR="00CA7E3B" w:rsidRDefault="00CA7E3B" w:rsidP="00CA7E3B">
      <w:pPr>
        <w:pStyle w:val="BodyText"/>
        <w:numPr>
          <w:ilvl w:val="0"/>
          <w:numId w:val="42"/>
        </w:numPr>
      </w:pPr>
      <w:r>
        <w:t>Phase noise handling</w:t>
      </w:r>
      <w:r w:rsidR="00FA4D2D">
        <w:t xml:space="preserve"> with extensive link level evaluation results</w:t>
      </w:r>
    </w:p>
    <w:p w14:paraId="6EA09B3C" w14:textId="038C0FD8" w:rsidR="00CA7E3B" w:rsidRDefault="00AD305B" w:rsidP="00CA7E3B">
      <w:pPr>
        <w:pStyle w:val="BodyText"/>
        <w:numPr>
          <w:ilvl w:val="0"/>
          <w:numId w:val="42"/>
        </w:numPr>
      </w:pPr>
      <w:r>
        <w:t>Cyclic prefix length</w:t>
      </w:r>
      <w:r w:rsidR="00814505">
        <w:t>s and applicable environments</w:t>
      </w:r>
    </w:p>
    <w:p w14:paraId="5C92FCED" w14:textId="77777777" w:rsidR="002F6BC4" w:rsidRDefault="002F6BC4" w:rsidP="002F6BC4">
      <w:pPr>
        <w:pStyle w:val="BodyText"/>
        <w:numPr>
          <w:ilvl w:val="0"/>
          <w:numId w:val="42"/>
        </w:numPr>
      </w:pPr>
      <w:r>
        <w:t>Frequency and timing estimation tolerance issues</w:t>
      </w:r>
    </w:p>
    <w:p w14:paraId="0DB9373A" w14:textId="78212841" w:rsidR="00814505" w:rsidRDefault="00814505" w:rsidP="00CA7E3B">
      <w:pPr>
        <w:pStyle w:val="BodyText"/>
        <w:numPr>
          <w:ilvl w:val="0"/>
          <w:numId w:val="42"/>
        </w:numPr>
      </w:pPr>
      <w:r>
        <w:t>Coverage and applicable deployments</w:t>
      </w:r>
    </w:p>
    <w:p w14:paraId="4DC8E366" w14:textId="0597E27D" w:rsidR="00814505" w:rsidRDefault="00814505" w:rsidP="00CA7E3B">
      <w:pPr>
        <w:pStyle w:val="BodyText"/>
        <w:numPr>
          <w:ilvl w:val="0"/>
          <w:numId w:val="42"/>
        </w:numPr>
      </w:pPr>
      <w:r>
        <w:t>Processing time issues</w:t>
      </w:r>
    </w:p>
    <w:p w14:paraId="3A381315" w14:textId="7D3E0A95" w:rsidR="00FA4D2D" w:rsidRDefault="00FA4D2D" w:rsidP="00814505">
      <w:pPr>
        <w:pStyle w:val="BodyText"/>
      </w:pPr>
      <w:r>
        <w:t>Based on the analysis, we propose</w:t>
      </w:r>
    </w:p>
    <w:p w14:paraId="5C2B35F5" w14:textId="4C1D880B" w:rsidR="00FA4D2D" w:rsidRPr="00EA0A41" w:rsidRDefault="00FA4D2D" w:rsidP="00FA4D2D">
      <w:pPr>
        <w:pStyle w:val="Proposal"/>
      </w:pPr>
      <w:bookmarkStart w:id="57" w:name="_Toc47712038"/>
      <w:r>
        <w:t xml:space="preserve">Consider </w:t>
      </w:r>
      <w:r w:rsidR="00627C29">
        <w:t>sub-carrier spacing</w:t>
      </w:r>
      <w:r w:rsidR="000736A9">
        <w:t>s up to</w:t>
      </w:r>
      <w:r w:rsidR="00627C29">
        <w:t xml:space="preserve"> 480 kHz </w:t>
      </w:r>
      <w:r>
        <w:t>for NR operation in 52.6 to 71 GHz.</w:t>
      </w:r>
      <w:bookmarkEnd w:id="57"/>
    </w:p>
    <w:p w14:paraId="59631AC1" w14:textId="77777777" w:rsidR="00A42F21" w:rsidRDefault="00A42F21" w:rsidP="008A2C71">
      <w:pPr>
        <w:pStyle w:val="BodyText"/>
      </w:pPr>
    </w:p>
    <w:p w14:paraId="36D67473" w14:textId="38176C55" w:rsidR="00DA4FF0" w:rsidRDefault="005A6A11" w:rsidP="00DA4FF0">
      <w:pPr>
        <w:pStyle w:val="Heading2"/>
      </w:pPr>
      <w:bookmarkStart w:id="58" w:name="_Toc46307393"/>
      <w:bookmarkStart w:id="59" w:name="_Toc47530171"/>
      <w:r>
        <w:t>3</w:t>
      </w:r>
      <w:r w:rsidR="00DA4FF0">
        <w:t>.</w:t>
      </w:r>
      <w:r>
        <w:t>1</w:t>
      </w:r>
      <w:r w:rsidR="00DA4FF0">
        <w:tab/>
      </w:r>
      <w:r w:rsidR="00651667">
        <w:t>P</w:t>
      </w:r>
      <w:r w:rsidR="00DA4FF0">
        <w:t>hase noise handling</w:t>
      </w:r>
      <w:bookmarkEnd w:id="58"/>
      <w:bookmarkEnd w:id="59"/>
    </w:p>
    <w:p w14:paraId="574415F4" w14:textId="2959D42F" w:rsidR="00DA4FF0" w:rsidRDefault="00DA4FF0" w:rsidP="00DA4FF0">
      <w:pPr>
        <w:pStyle w:val="BodyText"/>
      </w:pPr>
      <w:r>
        <w:t xml:space="preserve">In the study for NR mm-wave frequencies, phase noise was identified as one important factor to consider in the selection of subcarrier spacing that maximizes the achievable signal quality </w:t>
      </w:r>
      <w:r>
        <w:fldChar w:fldCharType="begin"/>
      </w:r>
      <w:r>
        <w:instrText xml:space="preserve"> REF _Ref39673732 \r \h </w:instrText>
      </w:r>
      <w:r>
        <w:fldChar w:fldCharType="separate"/>
      </w:r>
      <w:r w:rsidR="00CF206F">
        <w:t>[12]</w:t>
      </w:r>
      <w:r>
        <w:fldChar w:fldCharType="end"/>
      </w:r>
      <w:r>
        <w:t xml:space="preserve">. Since phase noise generally increases by 6 dB when carrier frequency doubles, impacts of phase noise on NR operations in the 52.6 – 71 GHz range can be expected to be more pronounced than those on NR operations in the FR2. The </w:t>
      </w:r>
      <w:r>
        <w:lastRenderedPageBreak/>
        <w:t xml:space="preserve">presence of phase noise can cause two types of impairments to an OFDM signal: (1) a common random phase rotation </w:t>
      </w:r>
      <w:r w:rsidR="003761E1">
        <w:t xml:space="preserve">(same </w:t>
      </w:r>
      <w:r>
        <w:t>on each subcarrier</w:t>
      </w:r>
      <w:r w:rsidR="003761E1">
        <w:t>)</w:t>
      </w:r>
      <w:r>
        <w:t>; and (2) inter-carrier interference between subcarriers. Different SCS sizes affect the relative strengths of these two types of impairments. In general, a large SCS tends to reduce the level of inter-carrier interference experience</w:t>
      </w:r>
      <w:r w:rsidR="003761E1">
        <w:t>d</w:t>
      </w:r>
      <w:r>
        <w:t xml:space="preserve"> by the OFDM signal. However, a large SCS also tends to suffer more performance losses from </w:t>
      </w:r>
      <w:r w:rsidR="005B09F7">
        <w:t xml:space="preserve">inter-symbol-interference (ISI) due to </w:t>
      </w:r>
      <w:r>
        <w:t>channel dispersion</w:t>
      </w:r>
      <w:r w:rsidR="003761E1">
        <w:t xml:space="preserve"> </w:t>
      </w:r>
      <w:r w:rsidR="005B09F7">
        <w:t>because of the</w:t>
      </w:r>
      <w:r w:rsidR="003761E1">
        <w:t xml:space="preserve"> shortened CP</w:t>
      </w:r>
      <w:r>
        <w:t>. It is hence important to evaluate both impacts on the link performance under realistic system parameters and scenarios.</w:t>
      </w:r>
    </w:p>
    <w:p w14:paraId="28197198" w14:textId="567BD6A6" w:rsidR="00802F6A" w:rsidRDefault="00802F6A" w:rsidP="00DA4FF0">
      <w:pPr>
        <w:pStyle w:val="BodyText"/>
      </w:pPr>
      <w:r>
        <w:t xml:space="preserve">For OFDM evaluation in this contribution, we perform CPE and ICI compensation using existing Rel-15 PTRS structure </w:t>
      </w:r>
      <w:r w:rsidRPr="00B74D89">
        <w:t>with</w:t>
      </w:r>
      <w:r>
        <w:t xml:space="preserve"> K=2 and L=1 following the agreed link level evaluation assumptions </w:t>
      </w:r>
      <w:r>
        <w:fldChar w:fldCharType="begin"/>
      </w:r>
      <w:r>
        <w:instrText xml:space="preserve"> REF _Ref46321089 \r \h </w:instrText>
      </w:r>
      <w:r>
        <w:fldChar w:fldCharType="separate"/>
      </w:r>
      <w:r w:rsidR="00CF206F">
        <w:t>[7]</w:t>
      </w:r>
      <w:r>
        <w:fldChar w:fldCharType="end"/>
      </w:r>
      <w:r>
        <w:t xml:space="preserve">. </w:t>
      </w:r>
      <w:r w:rsidR="00E76CB6">
        <w:t xml:space="preserve">In the TBS determination procedure in </w:t>
      </w:r>
      <w:r w:rsidR="00A8387E">
        <w:t xml:space="preserve">TS 38.214, </w:t>
      </w:r>
      <w:r w:rsidR="00E76CB6">
        <w:t xml:space="preserve">a UE first determines the </w:t>
      </w:r>
      <w:r w:rsidR="005A6C88">
        <w:t xml:space="preserve">number of </w:t>
      </w:r>
      <w:r w:rsidR="00142CF2">
        <w:t xml:space="preserve">REs </w:t>
      </w:r>
      <w:r w:rsidR="00334230" w:rsidRPr="00334230">
        <w:t>allocated for PDSCH within a PRB</w:t>
      </w:r>
      <w:r w:rsidR="00A40ED3">
        <w:t xml:space="preserve"> </w:t>
      </w:r>
      <w:r>
        <w:t>via</w:t>
      </w:r>
    </w:p>
    <w:p w14:paraId="693D99D1" w14:textId="4CF7FFBC" w:rsidR="0032315E" w:rsidRPr="00802F6A" w:rsidRDefault="00CF206F" w:rsidP="00DA4FF0">
      <w:pPr>
        <w:pStyle w:val="BodyText"/>
        <w:rPr>
          <w:lang w:eastAsia="ko-KR"/>
        </w:rPr>
      </w:pPr>
      <m:oMathPara>
        <m:oMath>
          <m:sSubSup>
            <m:sSubSupPr>
              <m:ctrlPr>
                <w:rPr>
                  <w:rFonts w:ascii="Cambria Math" w:hAnsi="Cambria Math"/>
                  <w:i/>
                  <w:lang w:eastAsia="ko-KR"/>
                </w:rPr>
              </m:ctrlPr>
            </m:sSubSupPr>
            <m:e>
              <m:r>
                <w:rPr>
                  <w:rFonts w:ascii="Cambria Math" w:hAnsi="Cambria Math"/>
                  <w:lang w:eastAsia="ko-KR"/>
                </w:rPr>
                <m:t xml:space="preserve"> N</m:t>
              </m:r>
            </m:e>
            <m:sub>
              <m:r>
                <w:rPr>
                  <w:rFonts w:ascii="Cambria Math" w:hAnsi="Cambria Math"/>
                  <w:lang w:eastAsia="ko-KR"/>
                </w:rPr>
                <m:t>RE</m:t>
              </m:r>
            </m:sub>
            <m:sup>
              <m:r>
                <w:rPr>
                  <w:rFonts w:ascii="Cambria Math" w:hAnsi="Cambria Math"/>
                  <w:lang w:eastAsia="ko-KR"/>
                </w:rPr>
                <m:t>'</m:t>
              </m:r>
            </m:sup>
          </m:sSubSup>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 xml:space="preserve"> N</m:t>
              </m:r>
            </m:e>
            <m:sub>
              <m:r>
                <w:rPr>
                  <w:rFonts w:ascii="Cambria Math" w:hAnsi="Cambria Math"/>
                  <w:lang w:eastAsia="ko-KR"/>
                </w:rPr>
                <m:t>SC</m:t>
              </m:r>
            </m:sub>
            <m:sup>
              <m:r>
                <w:rPr>
                  <w:rFonts w:ascii="Cambria Math" w:hAnsi="Cambria Math"/>
                  <w:lang w:eastAsia="ko-KR"/>
                </w:rPr>
                <m:t>RB</m:t>
              </m:r>
            </m:sup>
          </m:sSubSup>
          <m:r>
            <w:rPr>
              <w:rFonts w:ascii="Cambria Math" w:hAnsi="Cambria Math"/>
              <w:lang w:eastAsia="ko-KR"/>
            </w:rPr>
            <m:t>⋅</m:t>
          </m:r>
          <m:sSubSup>
            <m:sSubSupPr>
              <m:ctrlPr>
                <w:rPr>
                  <w:rStyle w:val="IvDbodytextChar"/>
                  <w:rFonts w:ascii="Cambria Math" w:hAnsi="Cambria Math" w:cs="Arial"/>
                  <w:i/>
                </w:rPr>
              </m:ctrlPr>
            </m:sSubSupPr>
            <m:e>
              <m:r>
                <w:rPr>
                  <w:rStyle w:val="IvDbodytextChar"/>
                  <w:rFonts w:ascii="Cambria Math" w:hAnsi="Cambria Math" w:cs="Arial"/>
                </w:rPr>
                <m:t>N</m:t>
              </m:r>
            </m:e>
            <m:sub>
              <m:r>
                <w:rPr>
                  <w:rStyle w:val="IvDbodytextChar"/>
                  <w:rFonts w:ascii="Cambria Math" w:hAnsi="Cambria Math" w:cs="Arial"/>
                </w:rPr>
                <m:t>symb</m:t>
              </m:r>
            </m:sub>
            <m:sup>
              <m:r>
                <w:rPr>
                  <w:rStyle w:val="IvDbodytextChar"/>
                  <w:rFonts w:ascii="Cambria Math" w:hAnsi="Cambria Math" w:cs="Arial"/>
                </w:rPr>
                <m:t>sh</m:t>
              </m:r>
            </m:sup>
          </m:sSubSup>
          <m:r>
            <w:rPr>
              <w:rStyle w:val="IvDbodytextChar"/>
              <w:rFonts w:ascii="Cambria Math" w:hAnsi="Cambria Math" w:cs="Arial"/>
            </w:rPr>
            <m:t>-</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DMRS</m:t>
              </m:r>
            </m:sub>
            <m:sup>
              <m:r>
                <w:rPr>
                  <w:rFonts w:ascii="Cambria Math" w:hAnsi="Cambria Math"/>
                  <w:lang w:eastAsia="ko-KR"/>
                </w:rPr>
                <m:t>PRB</m:t>
              </m:r>
            </m:sup>
          </m:sSubSup>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oh</m:t>
              </m:r>
            </m:sub>
            <m:sup>
              <m:r>
                <w:rPr>
                  <w:rFonts w:ascii="Cambria Math" w:hAnsi="Cambria Math"/>
                  <w:lang w:eastAsia="ko-KR"/>
                </w:rPr>
                <m:t>PRB</m:t>
              </m:r>
            </m:sup>
          </m:sSubSup>
          <m:r>
            <w:rPr>
              <w:rFonts w:ascii="Cambria Math" w:hAnsi="Cambria Math"/>
              <w:lang w:eastAsia="ko-KR"/>
            </w:rPr>
            <m:t>.</m:t>
          </m:r>
        </m:oMath>
      </m:oMathPara>
    </w:p>
    <w:p w14:paraId="0C55A718" w14:textId="1292D2F9" w:rsidR="00802F6A" w:rsidRDefault="00802F6A" w:rsidP="00DA4FF0">
      <w:pPr>
        <w:pStyle w:val="BodyText"/>
      </w:pPr>
      <w:r>
        <w:t xml:space="preserve">Since the higher layer parameter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oh</m:t>
            </m:r>
          </m:sub>
          <m:sup>
            <m:r>
              <w:rPr>
                <w:rFonts w:ascii="Cambria Math" w:hAnsi="Cambria Math"/>
                <w:lang w:eastAsia="ko-KR"/>
              </w:rPr>
              <m:t>PRB</m:t>
            </m:r>
          </m:sup>
        </m:sSubSup>
      </m:oMath>
      <w:r>
        <w:rPr>
          <w:lang w:eastAsia="ko-KR"/>
        </w:rPr>
        <w:t xml:space="preserve"> was not specified in the agreed </w:t>
      </w:r>
      <w:r>
        <w:t xml:space="preserve">link level evaluation assumptions </w:t>
      </w:r>
      <w:r>
        <w:fldChar w:fldCharType="begin"/>
      </w:r>
      <w:r>
        <w:instrText xml:space="preserve"> REF _Ref46321089 \r \h </w:instrText>
      </w:r>
      <w:r>
        <w:fldChar w:fldCharType="separate"/>
      </w:r>
      <w:r w:rsidR="00CF206F">
        <w:t>[7]</w:t>
      </w:r>
      <w:r>
        <w:fldChar w:fldCharType="end"/>
      </w:r>
      <w:r>
        <w:t xml:space="preserve">, we assume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oh</m:t>
            </m:r>
          </m:sub>
          <m:sup>
            <m:r>
              <w:rPr>
                <w:rFonts w:ascii="Cambria Math" w:hAnsi="Cambria Math"/>
                <w:lang w:eastAsia="ko-KR"/>
              </w:rPr>
              <m:t>PRB</m:t>
            </m:r>
          </m:sup>
        </m:sSubSup>
        <m:r>
          <w:rPr>
            <w:rFonts w:ascii="Cambria Math" w:hAnsi="Cambria Math"/>
            <w:lang w:eastAsia="ko-KR"/>
          </w:rPr>
          <m:t>=0</m:t>
        </m:r>
      </m:oMath>
      <w:r w:rsidR="006F4938">
        <w:rPr>
          <w:lang w:eastAsia="ko-KR"/>
        </w:rPr>
        <w:t xml:space="preserve"> per TS 38.214</w:t>
      </w:r>
      <w:r w:rsidR="009D7705">
        <w:rPr>
          <w:lang w:eastAsia="ko-KR"/>
        </w:rPr>
        <w:t xml:space="preserve">. As a result, </w:t>
      </w:r>
      <w:r w:rsidR="009B07C0">
        <w:rPr>
          <w:lang w:eastAsia="ko-KR"/>
        </w:rPr>
        <w:t xml:space="preserve">the </w:t>
      </w:r>
      <w:r w:rsidR="003C6C42">
        <w:rPr>
          <w:lang w:eastAsia="ko-KR"/>
        </w:rPr>
        <w:t>effective code rate</w:t>
      </w:r>
      <w:r w:rsidR="00117F17">
        <w:rPr>
          <w:lang w:eastAsia="ko-KR"/>
        </w:rPr>
        <w:t xml:space="preserve">s are increased due to the </w:t>
      </w:r>
      <w:r w:rsidR="00C50B5E">
        <w:rPr>
          <w:lang w:eastAsia="ko-KR"/>
        </w:rPr>
        <w:t>overhead introduced by PTRS.</w:t>
      </w:r>
    </w:p>
    <w:p w14:paraId="0C31A590" w14:textId="77777777" w:rsidR="00664378" w:rsidRDefault="00664378" w:rsidP="00DA4FF0">
      <w:pPr>
        <w:pStyle w:val="BodyText"/>
      </w:pPr>
    </w:p>
    <w:p w14:paraId="0F235F26" w14:textId="05AD3E01" w:rsidR="00C17133" w:rsidRPr="00804973" w:rsidRDefault="00C17133" w:rsidP="00C17133">
      <w:pPr>
        <w:pStyle w:val="BodyText"/>
        <w:rPr>
          <w:b/>
          <w:bCs/>
          <w:u w:val="single"/>
        </w:rPr>
      </w:pPr>
      <w:r>
        <w:rPr>
          <w:b/>
          <w:bCs/>
          <w:u w:val="single"/>
        </w:rPr>
        <w:t xml:space="preserve">Phase noise </w:t>
      </w:r>
      <w:r w:rsidRPr="00804973">
        <w:rPr>
          <w:b/>
          <w:bCs/>
          <w:u w:val="single"/>
        </w:rPr>
        <w:t xml:space="preserve">compensation </w:t>
      </w:r>
      <w:r w:rsidR="001B778F">
        <w:rPr>
          <w:b/>
          <w:bCs/>
          <w:u w:val="single"/>
        </w:rPr>
        <w:t>for OFDM</w:t>
      </w:r>
    </w:p>
    <w:p w14:paraId="5B05DBEA" w14:textId="14BC31DB" w:rsidR="00C17133" w:rsidRDefault="00C17133" w:rsidP="00C17133">
      <w:pPr>
        <w:pStyle w:val="BodyText"/>
      </w:pPr>
      <w:r>
        <w:t xml:space="preserve">Let the transmitted symbol and the channel response for sub-carrier </w:t>
      </w:r>
      <m:oMath>
        <m:r>
          <w:rPr>
            <w:rFonts w:ascii="Cambria Math" w:hAnsi="Cambria Math"/>
          </w:rPr>
          <m:t>k</m:t>
        </m:r>
      </m:oMath>
      <w:r>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t xml:space="preserve">, respectively. The time-varying phase noise induces inter-carrier-interference (ICI) in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00F56B0C">
        <w:t xml:space="preserve"> </w:t>
      </w:r>
      <w:r w:rsidR="002F79F3">
        <w:fldChar w:fldCharType="begin"/>
      </w:r>
      <w:r w:rsidR="002F79F3">
        <w:instrText xml:space="preserve"> REF _Ref47085970 \r \h </w:instrText>
      </w:r>
      <w:r w:rsidR="002F79F3">
        <w:fldChar w:fldCharType="separate"/>
      </w:r>
      <w:r w:rsidR="00CF206F">
        <w:t>[5]</w:t>
      </w:r>
      <w:r w:rsidR="002F79F3">
        <w:fldChar w:fldCharType="end"/>
      </w:r>
      <w:r>
        <w:t>:</w:t>
      </w:r>
    </w:p>
    <w:p w14:paraId="0AD2992C" w14:textId="77777777" w:rsidR="00C17133" w:rsidRDefault="00CF206F" w:rsidP="00C17133">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4C4AD572" w14:textId="77777777" w:rsidR="00C17133" w:rsidRDefault="00C17133" w:rsidP="00C17133">
      <w:pPr>
        <w:pStyle w:val="BodyText"/>
        <w:rPr>
          <w:iCs/>
        </w:rPr>
      </w:pPr>
      <w:r>
        <w:t xml:space="preserve">PTRS are transmitted on sub-carriers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oMath>
      <w:r>
        <w:rPr>
          <w:iCs/>
        </w:rPr>
        <w:t xml:space="preserve">. The values of </w:t>
      </w:r>
      <m:oMath>
        <m:sSub>
          <m:sSubPr>
            <m:ctrlPr>
              <w:rPr>
                <w:rFonts w:ascii="Cambria Math" w:hAnsi="Cambria Math"/>
                <w:i/>
                <w:iCs/>
              </w:rPr>
            </m:ctrlPr>
          </m:sSubPr>
          <m:e>
            <m:r>
              <w:rPr>
                <w:rFonts w:ascii="Cambria Math" w:hAnsi="Cambria Math"/>
              </w:rPr>
              <m:t>S</m:t>
            </m:r>
          </m:e>
          <m:sub>
            <m:r>
              <w:rPr>
                <w:rFonts w:ascii="Cambria Math" w:hAnsi="Cambria Math"/>
              </w:rPr>
              <m:t>k</m:t>
            </m:r>
          </m:sub>
        </m:sSub>
      </m:oMath>
      <w:r>
        <w:rPr>
          <w:iCs/>
        </w:rPr>
        <w:t xml:space="preserve"> at these sub-carriers are hence known and can be used to estimate a de-ICI filter of </w:t>
      </w:r>
      <m:oMath>
        <m:r>
          <w:rPr>
            <w:rFonts w:ascii="Cambria Math" w:hAnsi="Cambria Math"/>
          </w:rPr>
          <m:t>2u+1</m:t>
        </m:r>
      </m:oMath>
      <w:r>
        <w:rPr>
          <w:iCs/>
        </w:rPr>
        <w:t xml:space="preserve"> taps:</w:t>
      </w:r>
    </w:p>
    <w:p w14:paraId="6DEB538C" w14:textId="77777777" w:rsidR="00C17133" w:rsidRPr="00BF01D5" w:rsidRDefault="00CF206F" w:rsidP="00C17133">
      <w:pPr>
        <w:pStyle w:val="BodyText"/>
        <w:rPr>
          <w:iCs/>
        </w:rPr>
      </w:pPr>
      <m:oMathPara>
        <m:oMath>
          <m:nary>
            <m:naryPr>
              <m:chr m:val="∑"/>
              <m:ctrlPr>
                <w:rPr>
                  <w:rFonts w:ascii="Cambria Math" w:hAnsi="Cambria Math"/>
                  <w:i/>
                  <w:iCs/>
                </w:rPr>
              </m:ctrlPr>
            </m:naryPr>
            <m:sub>
              <m:r>
                <w:rPr>
                  <w:rFonts w:ascii="Cambria Math" w:hAnsi="Cambria Math"/>
                </w:rPr>
                <m:t>m=-u </m:t>
              </m:r>
            </m:sub>
            <m:sup>
              <m:r>
                <w:rPr>
                  <w:rFonts w:ascii="Cambria Math" w:hAnsi="Cambria Math"/>
                </w:rPr>
                <m:t>u</m:t>
              </m:r>
            </m:sup>
            <m:e>
              <m:sSub>
                <m:sSubPr>
                  <m:ctrlPr>
                    <w:rPr>
                      <w:rFonts w:ascii="Cambria Math" w:hAnsi="Cambria Math"/>
                      <w:i/>
                      <w:iCs/>
                    </w:rPr>
                  </m:ctrlPr>
                </m:sSubPr>
                <m:e>
                  <m:r>
                    <w:rPr>
                      <w:rFonts w:ascii="Cambria Math" w:hAnsi="Cambria Math"/>
                    </w:rPr>
                    <m:t>a</m:t>
                  </m:r>
                </m:e>
                <m:sub>
                  <m:r>
                    <w:rPr>
                      <w:rFonts w:ascii="Cambria Math" w:hAnsi="Cambria Math"/>
                    </w:rPr>
                    <m:t>m</m:t>
                  </m:r>
                </m:sub>
              </m:sSub>
              <m:sSub>
                <m:sSubPr>
                  <m:ctrlPr>
                    <w:rPr>
                      <w:rFonts w:ascii="Cambria Math" w:hAnsi="Cambria Math"/>
                      <w:i/>
                      <w:iCs/>
                    </w:rPr>
                  </m:ctrlPr>
                </m:sSubPr>
                <m:e>
                  <m:r>
                    <w:rPr>
                      <w:rFonts w:ascii="Cambria Math" w:hAnsi="Cambria Math"/>
                    </w:rPr>
                    <m:t>R</m:t>
                  </m:r>
                </m:e>
                <m:sub>
                  <m:r>
                    <w:rPr>
                      <w:rFonts w:ascii="Cambria Math" w:hAnsi="Cambria Math"/>
                    </w:rPr>
                    <m:t>k-m</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k</m:t>
                  </m:r>
                </m:sub>
              </m:sSub>
              <m:sSub>
                <m:sSubPr>
                  <m:ctrlPr>
                    <w:rPr>
                      <w:rFonts w:ascii="Cambria Math" w:hAnsi="Cambria Math"/>
                      <w:i/>
                      <w:iCs/>
                    </w:rPr>
                  </m:ctrlPr>
                </m:sSubPr>
                <m:e>
                  <m:r>
                    <w:rPr>
                      <w:rFonts w:ascii="Cambria Math" w:hAnsi="Cambria Math"/>
                    </w:rPr>
                    <m:t>S</m:t>
                  </m:r>
                </m:e>
                <m:sub>
                  <m:r>
                    <w:rPr>
                      <w:rFonts w:ascii="Cambria Math" w:hAnsi="Cambria Math"/>
                    </w:rPr>
                    <m:t>k</m:t>
                  </m:r>
                </m:sub>
              </m:sSub>
            </m:e>
          </m:nary>
          <m:r>
            <m:rPr>
              <m:sty m:val="p"/>
            </m:rPr>
            <w:rPr>
              <w:rFonts w:ascii="Cambria Math" w:hAnsi="Cambria Math"/>
            </w:rPr>
            <m:t xml:space="preserve"> for </m:t>
          </m:r>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m:t>
          </m:r>
        </m:oMath>
      </m:oMathPara>
    </w:p>
    <w:p w14:paraId="77F11997" w14:textId="77777777" w:rsidR="00C17133" w:rsidRDefault="00C17133" w:rsidP="00C17133">
      <w:pPr>
        <w:pStyle w:val="BodyText"/>
      </w:pPr>
      <w:r>
        <w:t xml:space="preserve">For </w:t>
      </w:r>
      <m:oMath>
        <m:r>
          <w:rPr>
            <w:rFonts w:ascii="Cambria Math" w:hAnsi="Cambria Math"/>
          </w:rPr>
          <m:t>u=0</m:t>
        </m:r>
      </m:oMath>
      <w:r>
        <w:t>, the de-ICI filter reduces to single-tap common phase error (CPE) compensation:</w:t>
      </w:r>
    </w:p>
    <w:p w14:paraId="4D41D137" w14:textId="23F76DE2" w:rsidR="00D8694E" w:rsidRDefault="00CF206F" w:rsidP="00D8694E">
      <w:pPr>
        <w:pStyle w:val="BodyText"/>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mr>
                        <m:mr>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mr>
                      </m:m>
                    </m:e>
                  </m:d>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b/>
                                  <w:bCs/>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sSub>
                            <m:sSubPr>
                              <m:ctrlPr>
                                <w:rPr>
                                  <w:rFonts w:ascii="Cambria Math" w:hAnsi="Cambria Math"/>
                                  <w:b/>
                                  <w:bCs/>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ctrlPr>
                            <w:rPr>
                              <w:rFonts w:ascii="Cambria Math" w:hAnsi="Cambria Math"/>
                              <w:b/>
                              <w:bCs/>
                              <w:i/>
                              <w:iCs/>
                            </w:rPr>
                          </m:ctrlPr>
                        </m:e>
                        <m:e>
                          <m:r>
                            <m:rPr>
                              <m:sty m:val="bi"/>
                            </m:rPr>
                            <w:rPr>
                              <w:rFonts w:ascii="Cambria Math" w:hAnsi="Cambria Math"/>
                            </w:rPr>
                            <m:t>⋮</m:t>
                          </m:r>
                          <m:ctrlPr>
                            <w:rPr>
                              <w:rFonts w:ascii="Cambria Math" w:eastAsia="Cambria Math" w:hAnsi="Cambria Math" w:cs="Cambria Math"/>
                              <w:b/>
                              <w:bCs/>
                              <w:i/>
                              <w:iCs/>
                            </w:rPr>
                          </m:ctrlPr>
                        </m:e>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ctrlPr>
                            <w:rPr>
                              <w:rFonts w:ascii="Cambria Math" w:hAnsi="Cambria Math"/>
                              <w:b/>
                              <w:bCs/>
                              <w:i/>
                              <w:iCs/>
                            </w:rPr>
                          </m:ctrlPr>
                        </m:e>
                      </m:eqArr>
                    </m:e>
                  </m:d>
                </m:e>
              </m:d>
            </m:e>
            <m:sup>
              <m:r>
                <w:rPr>
                  <w:rFonts w:ascii="Cambria Math" w:hAnsi="Cambria Math"/>
                </w:rPr>
                <m:t>2</m:t>
              </m:r>
            </m:sup>
          </m:sSup>
          <m:r>
            <w:rPr>
              <w:rFonts w:ascii="Cambria Math" w:hAnsi="Cambria Math"/>
            </w:rPr>
            <m:t xml:space="preserve">≜ </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r</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b"/>
                    </m:rPr>
                    <w:rPr>
                      <w:rFonts w:ascii="Cambria Math" w:hAnsi="Cambria Math"/>
                    </w:rPr>
                    <m:t>x</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sSub>
                    <m:sSubPr>
                      <m:ctrlPr>
                        <w:rPr>
                          <w:rFonts w:ascii="Cambria Math" w:hAnsi="Cambria Math"/>
                          <w:i/>
                        </w:rPr>
                      </m:ctrlPr>
                    </m:sSubPr>
                    <m:e>
                      <m:r>
                        <m:rPr>
                          <m:sty m:val="b"/>
                        </m:rPr>
                        <w:rPr>
                          <w:rFonts w:ascii="Cambria Math" w:hAnsi="Cambria Math"/>
                        </w:rPr>
                        <m:t>r</m:t>
                      </m:r>
                    </m:e>
                    <m:sub>
                      <m:r>
                        <w:rPr>
                          <w:rFonts w:ascii="Cambria Math" w:hAnsi="Cambria Math"/>
                        </w:rPr>
                        <m:t>0</m:t>
                      </m:r>
                    </m:sub>
                  </m:sSub>
                </m:e>
              </m:d>
            </m:e>
            <m:sup>
              <m:r>
                <w:rPr>
                  <w:rFonts w:ascii="Cambria Math" w:hAnsi="Cambria Math"/>
                </w:rPr>
                <m:t>-1</m:t>
              </m:r>
            </m:sup>
          </m:sSup>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r>
            <m:rPr>
              <m:sty m:val="b"/>
            </m:rPr>
            <w:rPr>
              <w:rFonts w:ascii="Cambria Math" w:hAnsi="Cambria Math"/>
            </w:rPr>
            <m:t>x</m:t>
          </m:r>
          <m:r>
            <w:rPr>
              <w:rFonts w:ascii="Cambria Math" w:hAnsi="Cambria Math"/>
            </w:rPr>
            <m:t>.</m:t>
          </m:r>
        </m:oMath>
      </m:oMathPara>
    </w:p>
    <w:p w14:paraId="152F1D9C" w14:textId="77777777" w:rsidR="00C17133" w:rsidRDefault="00C17133" w:rsidP="00C17133">
      <w:pPr>
        <w:pStyle w:val="BodyText"/>
      </w:pPr>
      <w:r>
        <w:t xml:space="preserve">For ICI compensation, we use </w:t>
      </w:r>
      <m:oMath>
        <m:r>
          <w:rPr>
            <w:rFonts w:ascii="Cambria Math" w:hAnsi="Cambria Math"/>
          </w:rPr>
          <m:t>u=1</m:t>
        </m:r>
      </m:oMath>
      <w:r>
        <w:t xml:space="preserve"> in this contribution. The 3-tap de-ICI filter can be obtained from minimizing the residue sum of squares:</w:t>
      </w:r>
    </w:p>
    <w:p w14:paraId="4B8FB2BA" w14:textId="5BB762DE" w:rsidR="00C17133" w:rsidRDefault="00CF206F" w:rsidP="00C17133">
      <w:pPr>
        <w:pStyle w:val="BodyText"/>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3"/>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m:t>
                                </m:r>
                              </m:sub>
                            </m:sSub>
                          </m:e>
                        </m:mr>
                        <m:mr>
                          <m:e>
                            <m:sSub>
                              <m:sSubPr>
                                <m:ctrlPr>
                                  <w:rPr>
                                    <w:rFonts w:ascii="Cambria Math" w:hAnsi="Cambria Math"/>
                                    <w:i/>
                                  </w:rPr>
                                </m:ctrlPr>
                              </m:sSubPr>
                              <m:e>
                                <m:r>
                                  <w:rPr>
                                    <w:rFonts w:ascii="Cambria Math" w:hAnsi="Cambria Math"/>
                                  </w:rPr>
                                  <m:t>a</m:t>
                                </m:r>
                              </m:e>
                              <m:sub>
                                <m:r>
                                  <w:rPr>
                                    <w:rFonts w:ascii="Cambria Math" w:hAnsi="Cambria Math"/>
                                  </w:rPr>
                                  <m:t>0</m:t>
                                </m:r>
                              </m:sub>
                            </m:sSub>
                          </m:e>
                        </m:mr>
                        <m:mr>
                          <m:e>
                            <m:sSub>
                              <m:sSubPr>
                                <m:ctrlPr>
                                  <w:rPr>
                                    <w:rFonts w:ascii="Cambria Math" w:hAnsi="Cambria Math"/>
                                    <w:i/>
                                  </w:rPr>
                                </m:ctrlPr>
                              </m:sSubPr>
                              <m:e>
                                <m:r>
                                  <w:rPr>
                                    <w:rFonts w:ascii="Cambria Math" w:hAnsi="Cambria Math"/>
                                  </w:rPr>
                                  <m:t>a</m:t>
                                </m:r>
                              </m:e>
                              <m:sub>
                                <m:r>
                                  <w:rPr>
                                    <w:rFonts w:ascii="Cambria Math" w:hAnsi="Cambria Math"/>
                                  </w:rPr>
                                  <m:t>1</m:t>
                                </m:r>
                              </m:sub>
                            </m:sSub>
                          </m:e>
                        </m:mr>
                      </m:m>
                    </m:e>
                  </m:d>
                  <m: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r>
                    <m:rPr>
                      <m:sty m:val="b"/>
                    </m:rPr>
                    <w:rPr>
                      <w:rFonts w:ascii="Cambria Math" w:hAnsi="Cambria Math"/>
                    </w:rPr>
                    <m:t>a</m:t>
                  </m:r>
                  <m:r>
                    <m:rPr>
                      <m:sty m:val="bi"/>
                    </m:rP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oMath>
      </m:oMathPara>
    </w:p>
    <w:p w14:paraId="62C8673B" w14:textId="77777777" w:rsidR="00C17133" w:rsidRDefault="00C17133" w:rsidP="00C17133">
      <w:pPr>
        <w:pStyle w:val="BodyText"/>
      </w:pPr>
      <w:r>
        <w:t>This is a simple least square problem with solution given by</w:t>
      </w:r>
    </w:p>
    <w:p w14:paraId="3D2D1E39" w14:textId="0B8F2419" w:rsidR="00C17133" w:rsidRDefault="00CF206F" w:rsidP="00C17133">
      <w:pPr>
        <w:pStyle w:val="BodyText"/>
        <w:rPr>
          <w:b/>
          <w:bCs/>
          <w:u w:val="single"/>
        </w:rPr>
      </w:pPr>
      <m:oMathPara>
        <m:oMath>
          <m:acc>
            <m:accPr>
              <m:ctrlPr>
                <w:rPr>
                  <w:rFonts w:ascii="Cambria Math" w:hAnsi="Cambria Math"/>
                  <w:b/>
                  <w:bCs/>
                  <w:i/>
                  <w:iCs/>
                </w:rPr>
              </m:ctrlPr>
            </m:accPr>
            <m:e>
              <m:r>
                <m:rPr>
                  <m:sty m:val="b"/>
                </m:rPr>
                <w:rPr>
                  <w:rFonts w:ascii="Cambria Math" w:hAnsi="Cambria Math"/>
                </w:rPr>
                <m:t>a</m:t>
              </m:r>
            </m:e>
          </m:acc>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R</m:t>
                      </m:r>
                    </m:e>
                    <m:sub>
                      <m:r>
                        <w:rPr>
                          <w:rFonts w:ascii="Cambria Math" w:hAnsi="Cambria Math"/>
                        </w:rPr>
                        <m:t>1</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R</m:t>
              </m:r>
            </m:e>
            <m:sub>
              <m:r>
                <m:rPr>
                  <m:sty m:val="p"/>
                </m:rPr>
                <w:rPr>
                  <w:rFonts w:ascii="Cambria Math" w:hAnsi="Cambria Math"/>
                </w:rPr>
                <m:t>1</m:t>
              </m:r>
            </m:sub>
            <m:sup>
              <m:r>
                <w:rPr>
                  <w:rFonts w:ascii="Cambria Math" w:hAnsi="Cambria Math"/>
                </w:rPr>
                <m:t>H</m:t>
              </m:r>
              <m:ctrlPr>
                <w:rPr>
                  <w:rFonts w:ascii="Cambria Math" w:hAnsi="Cambria Math"/>
                </w:rPr>
              </m:ctrlPr>
            </m:sup>
          </m:sSubSup>
          <m:r>
            <m:rPr>
              <m:sty m:val="b"/>
            </m:rPr>
            <w:rPr>
              <w:rFonts w:ascii="Cambria Math" w:hAnsi="Cambria Math"/>
            </w:rPr>
            <m:t>x</m:t>
          </m:r>
          <m:r>
            <w:rPr>
              <w:rFonts w:ascii="Cambria Math" w:hAnsi="Cambria Math"/>
            </w:rPr>
            <m:t>.</m:t>
          </m:r>
          <m:r>
            <m:rPr>
              <m:sty m:val="p"/>
            </m:rPr>
            <w:rPr>
              <w:rFonts w:ascii="Cambria Math" w:hAnsi="Cambria Math"/>
            </w:rPr>
            <m:t xml:space="preserve"> </m:t>
          </m:r>
        </m:oMath>
      </m:oMathPara>
    </w:p>
    <w:p w14:paraId="42AA32CD" w14:textId="64F8C06D" w:rsidR="00A9342D" w:rsidRDefault="00FB4698" w:rsidP="000E48E2">
      <w:pPr>
        <w:pStyle w:val="BodyText"/>
        <w:rPr>
          <w:lang w:val="en-GB"/>
        </w:rPr>
      </w:pPr>
      <w:r>
        <w:t xml:space="preserve">Note that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1</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oMath>
      <w:r>
        <w:t xml:space="preserve"> is </w:t>
      </w:r>
      <w:r>
        <w:rPr>
          <w:lang w:val="en-GB"/>
        </w:rPr>
        <w:t xml:space="preserve">a small 3x3 matrix. </w:t>
      </w:r>
      <w:r w:rsidR="00416149">
        <w:rPr>
          <w:lang w:val="en-GB"/>
        </w:rPr>
        <w:t xml:space="preserve">To compensate the ICI, the received signal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k</m:t>
            </m:r>
          </m:sub>
        </m:sSub>
        <m:r>
          <w:rPr>
            <w:rFonts w:ascii="Cambria Math" w:hAnsi="Cambria Math"/>
            <w:lang w:val="en-GB"/>
          </w:rPr>
          <m:t>}</m:t>
        </m:r>
      </m:oMath>
      <w:r w:rsidR="00416149">
        <w:rPr>
          <w:lang w:val="en-GB"/>
        </w:rPr>
        <w:t xml:space="preserve"> is filter by </w:t>
      </w:r>
      <m:oMath>
        <m:r>
          <w:rPr>
            <w:rFonts w:ascii="Cambria Math" w:hAnsi="Cambria Math"/>
            <w:lang w:val="en-GB"/>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ctrlPr>
              <w:rPr>
                <w:rFonts w:ascii="Cambria Math" w:hAnsi="Cambria Math"/>
                <w:i/>
                <w:lang w:val="en-GB"/>
              </w:rPr>
            </m:ctrlPr>
          </m:e>
          <m:sub>
            <m:r>
              <w:rPr>
                <w:rFonts w:ascii="Cambria Math" w:hAnsi="Cambria Math"/>
              </w:rPr>
              <m:t>-1</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1</m:t>
            </m:r>
          </m:sub>
        </m:sSub>
        <m:r>
          <w:rPr>
            <w:rFonts w:ascii="Cambria Math" w:hAnsi="Cambria Math"/>
          </w:rPr>
          <m:t>}</m:t>
        </m:r>
      </m:oMath>
      <w:r w:rsidR="00416149">
        <w:t>.</w:t>
      </w:r>
    </w:p>
    <w:p w14:paraId="4DA5319E" w14:textId="058F5A90" w:rsidR="00FB4698" w:rsidRDefault="00462A02" w:rsidP="000E48E2">
      <w:pPr>
        <w:pStyle w:val="BodyText"/>
      </w:pPr>
      <w:r>
        <w:rPr>
          <w:lang w:val="en-GB"/>
        </w:rPr>
        <w:t>T</w:t>
      </w:r>
      <w:r w:rsidR="00FB4698">
        <w:rPr>
          <w:lang w:val="en-GB"/>
        </w:rPr>
        <w:t>he compensation procedure places no restriction on the locations of the PTRS. That is, the PTRS can be distributed as Rel-15 NR PTRS or clustered as studied by some companies.</w:t>
      </w:r>
      <w:r w:rsidR="00FB4698">
        <w:t xml:space="preserve"> Further discussion can be found in the companion contribution </w:t>
      </w:r>
      <w:r w:rsidR="00FB4698">
        <w:fldChar w:fldCharType="begin"/>
      </w:r>
      <w:r w:rsidR="00FB4698">
        <w:instrText xml:space="preserve"> REF _Ref46838837 \r \h </w:instrText>
      </w:r>
      <w:r w:rsidR="00FB4698">
        <w:fldChar w:fldCharType="separate"/>
      </w:r>
      <w:r w:rsidR="00CF206F">
        <w:t>[6]</w:t>
      </w:r>
      <w:r w:rsidR="00FB4698">
        <w:fldChar w:fldCharType="end"/>
      </w:r>
      <w:r w:rsidR="0086504A">
        <w:t>.</w:t>
      </w:r>
    </w:p>
    <w:p w14:paraId="6753DAD8" w14:textId="0483A372" w:rsidR="001D1362" w:rsidRDefault="001D1362" w:rsidP="001D1362">
      <w:pPr>
        <w:pStyle w:val="Heading3"/>
      </w:pPr>
      <w:bookmarkStart w:id="60" w:name="_Toc47530172"/>
      <w:r>
        <w:t>3.1.1</w:t>
      </w:r>
      <w:r>
        <w:tab/>
      </w:r>
      <w:r w:rsidR="009F6EB4">
        <w:t xml:space="preserve">TDL </w:t>
      </w:r>
      <w:r w:rsidR="00AD33EE">
        <w:t xml:space="preserve">channel </w:t>
      </w:r>
      <w:r>
        <w:t xml:space="preserve">evaluation results for </w:t>
      </w:r>
      <w:r w:rsidR="009F6EB4">
        <w:t>CP-OFDM</w:t>
      </w:r>
      <w:bookmarkEnd w:id="60"/>
    </w:p>
    <w:p w14:paraId="333719C9" w14:textId="6695C723" w:rsidR="00D72986" w:rsidRDefault="00F05BD7">
      <w:pPr>
        <w:pStyle w:val="BodyText"/>
      </w:pPr>
      <w:r w:rsidRPr="00F94015">
        <w:t>In this section, we provide link-level evaluation results in terms of DL-SCH block error rate (BLER) vs. signal to noise ratio (SINR) for TD</w:t>
      </w:r>
      <w:r w:rsidR="00CE13E1">
        <w:t>L</w:t>
      </w:r>
      <w:r w:rsidRPr="00F94015">
        <w:t>-A channel in the presence of phase noise to assist in the proper selection of SCS. In all link-level simulations for OFDM, current Rel-15 PTRS configurations (K=2 and L=1) are used</w:t>
      </w:r>
      <w:r w:rsidR="00EF304B">
        <w:t xml:space="preserve">, and we compare </w:t>
      </w:r>
      <w:r w:rsidR="00D4506D">
        <w:t>CPE compensation only vs. ICI compensation</w:t>
      </w:r>
      <w:r w:rsidRPr="00F94015">
        <w:t>.</w:t>
      </w:r>
      <w:r w:rsidR="00EF0E6F">
        <w:t xml:space="preserve"> </w:t>
      </w:r>
      <w:r w:rsidR="00D72986">
        <w:t xml:space="preserve">As agreed in the email discussion </w:t>
      </w:r>
      <w:r w:rsidR="00D72986">
        <w:fldChar w:fldCharType="begin"/>
      </w:r>
      <w:r w:rsidR="00D72986">
        <w:instrText xml:space="preserve"> REF _Ref46321089 \r \h </w:instrText>
      </w:r>
      <w:r w:rsidR="00D72986">
        <w:fldChar w:fldCharType="separate"/>
      </w:r>
      <w:r w:rsidR="00CF206F">
        <w:t>[7]</w:t>
      </w:r>
      <w:r w:rsidR="00D72986">
        <w:fldChar w:fldCharType="end"/>
      </w:r>
      <w:r w:rsidR="00D72986">
        <w:t xml:space="preserve">, two channel bandwidths are evaluated </w:t>
      </w:r>
    </w:p>
    <w:p w14:paraId="4D3C9C51" w14:textId="77777777" w:rsidR="00D72986" w:rsidRDefault="00D72986" w:rsidP="00F94015">
      <w:pPr>
        <w:pStyle w:val="BodyText"/>
        <w:numPr>
          <w:ilvl w:val="0"/>
          <w:numId w:val="52"/>
        </w:numPr>
        <w:spacing w:after="0"/>
      </w:pPr>
      <w:r>
        <w:t>400 MHz</w:t>
      </w:r>
    </w:p>
    <w:p w14:paraId="2945B09C" w14:textId="77777777" w:rsidR="00D72986" w:rsidRDefault="00D72986" w:rsidP="00F94015">
      <w:pPr>
        <w:pStyle w:val="BodyText"/>
        <w:numPr>
          <w:ilvl w:val="1"/>
          <w:numId w:val="52"/>
        </w:numPr>
        <w:spacing w:after="0"/>
      </w:pPr>
      <w:r>
        <w:t>256 RBs @ 120 kHz SCS</w:t>
      </w:r>
    </w:p>
    <w:p w14:paraId="71951AB3" w14:textId="77777777" w:rsidR="00D72986" w:rsidRDefault="00D72986" w:rsidP="00F94015">
      <w:pPr>
        <w:pStyle w:val="BodyText"/>
        <w:numPr>
          <w:ilvl w:val="1"/>
          <w:numId w:val="52"/>
        </w:numPr>
        <w:spacing w:after="0"/>
      </w:pPr>
      <w:r>
        <w:t>128 RBs @ 240 kHz SCS</w:t>
      </w:r>
    </w:p>
    <w:p w14:paraId="002E308E" w14:textId="77777777" w:rsidR="00D72986" w:rsidRDefault="00D72986" w:rsidP="00F94015">
      <w:pPr>
        <w:pStyle w:val="BodyText"/>
        <w:numPr>
          <w:ilvl w:val="1"/>
          <w:numId w:val="52"/>
        </w:numPr>
        <w:spacing w:after="0"/>
      </w:pPr>
      <w:r>
        <w:lastRenderedPageBreak/>
        <w:t>64 RBs @ 480 kHz SCS</w:t>
      </w:r>
    </w:p>
    <w:p w14:paraId="07095DE1" w14:textId="77777777" w:rsidR="00D72986" w:rsidRDefault="00D72986" w:rsidP="00F94015">
      <w:pPr>
        <w:pStyle w:val="BodyText"/>
        <w:numPr>
          <w:ilvl w:val="1"/>
          <w:numId w:val="52"/>
        </w:numPr>
        <w:spacing w:after="0"/>
      </w:pPr>
      <w:r>
        <w:t>32 RBs @ 960 kHz SCS</w:t>
      </w:r>
    </w:p>
    <w:p w14:paraId="0D632D40" w14:textId="77777777" w:rsidR="00D72986" w:rsidRDefault="00D72986" w:rsidP="00F94015">
      <w:pPr>
        <w:pStyle w:val="BodyText"/>
        <w:numPr>
          <w:ilvl w:val="0"/>
          <w:numId w:val="52"/>
        </w:numPr>
        <w:spacing w:after="0"/>
      </w:pPr>
      <w:r>
        <w:t>2000 MHz</w:t>
      </w:r>
    </w:p>
    <w:p w14:paraId="30CBAE0F" w14:textId="77777777" w:rsidR="00D72986" w:rsidRDefault="00D72986" w:rsidP="00D72986">
      <w:pPr>
        <w:pStyle w:val="BodyText"/>
        <w:numPr>
          <w:ilvl w:val="1"/>
          <w:numId w:val="52"/>
        </w:numPr>
      </w:pPr>
      <w:r>
        <w:t>160 RBs @ 960 kHz SCS</w:t>
      </w:r>
    </w:p>
    <w:p w14:paraId="61C51064" w14:textId="20D8DD9B" w:rsidR="005F76C3" w:rsidRDefault="00EF0E6F">
      <w:pPr>
        <w:pStyle w:val="BodyText"/>
      </w:pPr>
      <w:r>
        <w:t>In</w:t>
      </w:r>
      <w:r w:rsidR="00F05BD7" w:rsidRPr="00F94015">
        <w:t xml:space="preserve"> </w:t>
      </w:r>
      <w:r>
        <w:fldChar w:fldCharType="begin"/>
      </w:r>
      <w:r>
        <w:instrText xml:space="preserve"> REF _Ref46870085 \h </w:instrText>
      </w:r>
      <w:r>
        <w:fldChar w:fldCharType="separate"/>
      </w:r>
      <w:r w:rsidR="00CF206F" w:rsidRPr="00AA6731">
        <w:rPr>
          <w:rFonts w:cs="Arial"/>
        </w:rPr>
        <w:t xml:space="preserve">Figure </w:t>
      </w:r>
      <w:r w:rsidR="00CF206F">
        <w:rPr>
          <w:rFonts w:cs="Arial"/>
          <w:noProof/>
        </w:rPr>
        <w:t>3</w:t>
      </w:r>
      <w:r>
        <w:fldChar w:fldCharType="end"/>
      </w:r>
      <w:r>
        <w:t>,</w:t>
      </w:r>
      <w:r w:rsidR="00F05BD7" w:rsidRPr="00F94015">
        <w:t xml:space="preserve"> we provide BLER for MCS 22, MCS 16, and MCS 7 </w:t>
      </w:r>
      <w:r w:rsidR="00D72986">
        <w:t xml:space="preserve">with </w:t>
      </w:r>
      <w:r w:rsidR="00F05BD7" w:rsidRPr="00F94015">
        <w:t xml:space="preserve">CPE </w:t>
      </w:r>
      <w:r w:rsidR="000765A3">
        <w:t xml:space="preserve">compensation. </w:t>
      </w:r>
      <w:r w:rsidR="007307B5">
        <w:t>The results show phase noise has negative impact</w:t>
      </w:r>
      <w:r w:rsidR="001D30AD">
        <w:t>s</w:t>
      </w:r>
      <w:r w:rsidR="007307B5">
        <w:t xml:space="preserve"> on link performance of smaller sub-carrier spacings</w:t>
      </w:r>
      <w:r w:rsidR="0064475E">
        <w:t xml:space="preserve"> particularly for higher MCSs when only CPE compensation is performed. </w:t>
      </w:r>
      <w:r w:rsidR="00255B6E">
        <w:t xml:space="preserve">It is noted that a </w:t>
      </w:r>
      <w:r w:rsidR="00255B6E" w:rsidRPr="0074165E">
        <w:t xml:space="preserve">system with smaller </w:t>
      </w:r>
      <w:r w:rsidR="00255B6E">
        <w:t>number of sub-carriers</w:t>
      </w:r>
      <w:r w:rsidR="00255B6E" w:rsidRPr="0074165E">
        <w:t xml:space="preserve"> </w:t>
      </w:r>
      <w:r w:rsidR="00255B6E">
        <w:t xml:space="preserve">generally </w:t>
      </w:r>
      <w:r w:rsidR="00255B6E" w:rsidRPr="0074165E">
        <w:t xml:space="preserve">has better performance than </w:t>
      </w:r>
      <w:r w:rsidR="00255B6E">
        <w:t xml:space="preserve">one with </w:t>
      </w:r>
      <w:r w:rsidR="00255B6E" w:rsidRPr="0074165E">
        <w:t xml:space="preserve">larger </w:t>
      </w:r>
      <w:r w:rsidR="00255B6E">
        <w:t>number of sub-carriers</w:t>
      </w:r>
      <w:r w:rsidR="00255B6E" w:rsidRPr="0074165E">
        <w:t xml:space="preserve"> due to </w:t>
      </w:r>
      <w:r w:rsidR="00E71BC5">
        <w:t xml:space="preserve">less </w:t>
      </w:r>
      <w:r w:rsidR="00255B6E" w:rsidRPr="0074165E">
        <w:t>phase noise power aggregated by all</w:t>
      </w:r>
      <w:r w:rsidR="002C0B87">
        <w:t xml:space="preserve"> the sub-carriers</w:t>
      </w:r>
      <w:r w:rsidR="00255B6E" w:rsidRPr="0074165E">
        <w:t>.</w:t>
      </w:r>
      <w:r w:rsidR="00255B6E">
        <w:t xml:space="preserve"> </w:t>
      </w:r>
    </w:p>
    <w:p w14:paraId="7B2CE933" w14:textId="6586FD0D" w:rsidR="00A830AF" w:rsidRDefault="005F76C3">
      <w:pPr>
        <w:pStyle w:val="BodyText"/>
      </w:pPr>
      <w:r>
        <w:t xml:space="preserve">In </w:t>
      </w:r>
      <w:r>
        <w:fldChar w:fldCharType="begin"/>
      </w:r>
      <w:r>
        <w:instrText xml:space="preserve"> REF _Ref46870088 \h </w:instrText>
      </w:r>
      <w:r>
        <w:fldChar w:fldCharType="separate"/>
      </w:r>
      <w:r w:rsidR="00CF206F" w:rsidRPr="00AA6731">
        <w:rPr>
          <w:rFonts w:cs="Arial"/>
        </w:rPr>
        <w:t xml:space="preserve">Figure </w:t>
      </w:r>
      <w:r w:rsidR="00CF206F">
        <w:rPr>
          <w:rFonts w:cs="Arial"/>
          <w:noProof/>
        </w:rPr>
        <w:t>4</w:t>
      </w:r>
      <w:r>
        <w:fldChar w:fldCharType="end"/>
      </w:r>
      <w:r>
        <w:t xml:space="preserve">, we provide BLER for the same agreed setups </w:t>
      </w:r>
      <w:r w:rsidR="00D4506D">
        <w:t>using</w:t>
      </w:r>
      <w:r>
        <w:t xml:space="preserve"> three-tap de-ICI </w:t>
      </w:r>
      <w:r w:rsidRPr="00DF24CA">
        <w:t xml:space="preserve">compensation </w:t>
      </w:r>
      <w:r>
        <w:t xml:space="preserve">(i.e., </w:t>
      </w:r>
      <m:oMath>
        <m:r>
          <w:rPr>
            <w:rFonts w:ascii="Cambria Math" w:hAnsi="Cambria Math"/>
          </w:rPr>
          <m:t>u=1</m:t>
        </m:r>
      </m:oMath>
      <w:r>
        <w:t>).</w:t>
      </w:r>
      <w:r w:rsidR="0064475E">
        <w:t xml:space="preserve"> </w:t>
      </w:r>
      <w:r w:rsidR="001778E8">
        <w:t xml:space="preserve">The results show that, </w:t>
      </w:r>
      <w:r w:rsidR="00AD55CE">
        <w:t xml:space="preserve">with simple ICI compensation, </w:t>
      </w:r>
      <w:r w:rsidR="001A2AA5">
        <w:t xml:space="preserve">link performance of smaller sub-carrier spacings can be brought </w:t>
      </w:r>
      <w:r w:rsidR="00771017">
        <w:t>on par with that of larger sub-carrier spacings</w:t>
      </w:r>
      <w:r w:rsidR="0066594C">
        <w:t xml:space="preserve"> </w:t>
      </w:r>
      <w:r w:rsidR="00627C87">
        <w:t xml:space="preserve">particularly in the </w:t>
      </w:r>
      <w:r w:rsidR="001D490C">
        <w:t xml:space="preserve">range of </w:t>
      </w:r>
      <w:r w:rsidR="00627C87">
        <w:t>typical link adaptation target of 10% BLER.</w:t>
      </w:r>
      <w:r w:rsidR="009C0A4E">
        <w:t xml:space="preserve"> </w:t>
      </w:r>
      <w:r w:rsidR="009C0A4E">
        <w:rPr>
          <w:szCs w:val="22"/>
        </w:rPr>
        <w:t>Therefore</w:t>
      </w:r>
      <w:r w:rsidR="009C0A4E">
        <w:t>, there is no need to drastically increase SCS, e.g., to 960 kHz, to combat phase noise.</w:t>
      </w:r>
    </w:p>
    <w:p w14:paraId="52D551B0" w14:textId="1C762AC0" w:rsidR="001D1362" w:rsidRPr="00AA6731" w:rsidRDefault="1AAD7461" w:rsidP="001D1362">
      <w:pPr>
        <w:pStyle w:val="BodyText"/>
        <w:keepNext/>
        <w:rPr>
          <w:rFonts w:cs="Arial"/>
        </w:rPr>
      </w:pPr>
      <w:r>
        <w:rPr>
          <w:noProof/>
        </w:rPr>
        <w:drawing>
          <wp:inline distT="0" distB="0" distL="0" distR="0" wp14:anchorId="0DAB1DF7" wp14:editId="1776CFDD">
            <wp:extent cx="3017520" cy="2242492"/>
            <wp:effectExtent l="0" t="0" r="0" b="5715"/>
            <wp:docPr id="200498401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4">
                      <a:extLst>
                        <a:ext uri="{28A0092B-C50C-407E-A947-70E740481C1C}">
                          <a14:useLocalDpi xmlns:a14="http://schemas.microsoft.com/office/drawing/2010/main" val="0"/>
                        </a:ext>
                      </a:extLst>
                    </a:blip>
                    <a:stretch>
                      <a:fillRect/>
                    </a:stretch>
                  </pic:blipFill>
                  <pic:spPr>
                    <a:xfrm>
                      <a:off x="0" y="0"/>
                      <a:ext cx="3017520" cy="2242492"/>
                    </a:xfrm>
                    <a:prstGeom prst="rect">
                      <a:avLst/>
                    </a:prstGeom>
                  </pic:spPr>
                </pic:pic>
              </a:graphicData>
            </a:graphic>
          </wp:inline>
        </w:drawing>
      </w:r>
      <w:r>
        <w:rPr>
          <w:noProof/>
        </w:rPr>
        <w:drawing>
          <wp:inline distT="0" distB="0" distL="0" distR="0" wp14:anchorId="5A213D41" wp14:editId="31189E06">
            <wp:extent cx="3017520" cy="2242491"/>
            <wp:effectExtent l="0" t="0" r="0" b="5715"/>
            <wp:docPr id="173636390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15">
                      <a:extLst>
                        <a:ext uri="{28A0092B-C50C-407E-A947-70E740481C1C}">
                          <a14:useLocalDpi xmlns:a14="http://schemas.microsoft.com/office/drawing/2010/main" val="0"/>
                        </a:ext>
                      </a:extLst>
                    </a:blip>
                    <a:stretch>
                      <a:fillRect/>
                    </a:stretch>
                  </pic:blipFill>
                  <pic:spPr>
                    <a:xfrm>
                      <a:off x="0" y="0"/>
                      <a:ext cx="3017520" cy="2242491"/>
                    </a:xfrm>
                    <a:prstGeom prst="rect">
                      <a:avLst/>
                    </a:prstGeom>
                  </pic:spPr>
                </pic:pic>
              </a:graphicData>
            </a:graphic>
          </wp:inline>
        </w:drawing>
      </w:r>
    </w:p>
    <w:p w14:paraId="5CABA161" w14:textId="436A7B75" w:rsidR="001D1362" w:rsidRPr="00AA6731" w:rsidRDefault="001D1362" w:rsidP="001D1362">
      <w:pPr>
        <w:pStyle w:val="Caption"/>
        <w:jc w:val="both"/>
        <w:rPr>
          <w:rFonts w:ascii="Arial" w:hAnsi="Arial" w:cs="Arial"/>
        </w:rPr>
      </w:pPr>
      <w:bookmarkStart w:id="61" w:name="_Ref46870085"/>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CF206F">
        <w:rPr>
          <w:rFonts w:ascii="Arial" w:hAnsi="Arial" w:cs="Arial"/>
          <w:noProof/>
        </w:rPr>
        <w:t>3</w:t>
      </w:r>
      <w:r w:rsidRPr="003B0557">
        <w:rPr>
          <w:rFonts w:ascii="Arial" w:hAnsi="Arial" w:cs="Arial"/>
        </w:rPr>
        <w:fldChar w:fldCharType="end"/>
      </w:r>
      <w:bookmarkEnd w:id="61"/>
      <w:r w:rsidRPr="00AA6731">
        <w:rPr>
          <w:rFonts w:ascii="Arial" w:hAnsi="Arial" w:cs="Arial"/>
        </w:rPr>
        <w:t xml:space="preserve">: BLER for TDL-A with 5 </w:t>
      </w:r>
      <w:r w:rsidR="00367F7E">
        <w:rPr>
          <w:rFonts w:ascii="Arial" w:hAnsi="Arial" w:cs="Arial"/>
        </w:rPr>
        <w:t xml:space="preserve">ns </w:t>
      </w:r>
      <w:r w:rsidRPr="00AA6731">
        <w:rPr>
          <w:rFonts w:ascii="Arial" w:hAnsi="Arial" w:cs="Arial"/>
        </w:rPr>
        <w:t>and 10 ns with CPE compensation (performance results for MCS 7, MCS 16, and MCS 22 are plotted with red, black, and blue curves, respectively).</w:t>
      </w:r>
    </w:p>
    <w:p w14:paraId="3F5AFB47" w14:textId="0C24DA69" w:rsidR="001D1362" w:rsidRPr="00AA6731" w:rsidRDefault="1AAD7461" w:rsidP="001D1362">
      <w:pPr>
        <w:pStyle w:val="BodyText"/>
        <w:keepNext/>
        <w:rPr>
          <w:rFonts w:cs="Arial"/>
        </w:rPr>
      </w:pPr>
      <w:r>
        <w:rPr>
          <w:noProof/>
        </w:rPr>
        <w:drawing>
          <wp:inline distT="0" distB="0" distL="0" distR="0" wp14:anchorId="60A148D8" wp14:editId="77B8BDE3">
            <wp:extent cx="3017520" cy="2261345"/>
            <wp:effectExtent l="0" t="0" r="0" b="5715"/>
            <wp:docPr id="100596050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16">
                      <a:extLst>
                        <a:ext uri="{28A0092B-C50C-407E-A947-70E740481C1C}">
                          <a14:useLocalDpi xmlns:a14="http://schemas.microsoft.com/office/drawing/2010/main" val="0"/>
                        </a:ext>
                      </a:extLst>
                    </a:blip>
                    <a:stretch>
                      <a:fillRect/>
                    </a:stretch>
                  </pic:blipFill>
                  <pic:spPr>
                    <a:xfrm>
                      <a:off x="0" y="0"/>
                      <a:ext cx="3017520" cy="2261345"/>
                    </a:xfrm>
                    <a:prstGeom prst="rect">
                      <a:avLst/>
                    </a:prstGeom>
                  </pic:spPr>
                </pic:pic>
              </a:graphicData>
            </a:graphic>
          </wp:inline>
        </w:drawing>
      </w:r>
      <w:r>
        <w:rPr>
          <w:noProof/>
        </w:rPr>
        <w:drawing>
          <wp:inline distT="0" distB="0" distL="0" distR="0" wp14:anchorId="063BCC33" wp14:editId="33A42798">
            <wp:extent cx="3017520" cy="2242492"/>
            <wp:effectExtent l="0" t="0" r="0" b="5715"/>
            <wp:docPr id="193617301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17">
                      <a:extLst>
                        <a:ext uri="{28A0092B-C50C-407E-A947-70E740481C1C}">
                          <a14:useLocalDpi xmlns:a14="http://schemas.microsoft.com/office/drawing/2010/main" val="0"/>
                        </a:ext>
                      </a:extLst>
                    </a:blip>
                    <a:stretch>
                      <a:fillRect/>
                    </a:stretch>
                  </pic:blipFill>
                  <pic:spPr>
                    <a:xfrm>
                      <a:off x="0" y="0"/>
                      <a:ext cx="3017520" cy="2242492"/>
                    </a:xfrm>
                    <a:prstGeom prst="rect">
                      <a:avLst/>
                    </a:prstGeom>
                  </pic:spPr>
                </pic:pic>
              </a:graphicData>
            </a:graphic>
          </wp:inline>
        </w:drawing>
      </w:r>
    </w:p>
    <w:p w14:paraId="2066A1FF" w14:textId="1F52A690" w:rsidR="001D1362" w:rsidRDefault="001D1362" w:rsidP="001D1362">
      <w:pPr>
        <w:pStyle w:val="Caption"/>
        <w:jc w:val="both"/>
        <w:rPr>
          <w:rFonts w:ascii="Arial" w:hAnsi="Arial" w:cs="Arial"/>
        </w:rPr>
      </w:pPr>
      <w:bookmarkStart w:id="62" w:name="_Ref46870088"/>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CF206F">
        <w:rPr>
          <w:rFonts w:ascii="Arial" w:hAnsi="Arial" w:cs="Arial"/>
          <w:noProof/>
        </w:rPr>
        <w:t>4</w:t>
      </w:r>
      <w:r w:rsidRPr="003B0557">
        <w:rPr>
          <w:rFonts w:ascii="Arial" w:hAnsi="Arial" w:cs="Arial"/>
        </w:rPr>
        <w:fldChar w:fldCharType="end"/>
      </w:r>
      <w:bookmarkEnd w:id="62"/>
      <w:r w:rsidRPr="00AA6731">
        <w:rPr>
          <w:rFonts w:ascii="Arial" w:hAnsi="Arial" w:cs="Arial"/>
        </w:rPr>
        <w:t xml:space="preserve">: BLER for TDL-A with 5 </w:t>
      </w:r>
      <w:r w:rsidR="001F192A">
        <w:rPr>
          <w:rFonts w:ascii="Arial" w:hAnsi="Arial" w:cs="Arial"/>
        </w:rPr>
        <w:t xml:space="preserve">ns </w:t>
      </w:r>
      <w:r w:rsidRPr="00AA6731">
        <w:rPr>
          <w:rFonts w:ascii="Arial" w:hAnsi="Arial" w:cs="Arial"/>
        </w:rPr>
        <w:t>and 10 ns with ICI compensation (performance results for MCS 7, MCS 16, and MCS 22 are plotted with red, black, and blue curves, respectively).</w:t>
      </w:r>
    </w:p>
    <w:p w14:paraId="11BEA235" w14:textId="77777777" w:rsidR="00F612E6" w:rsidRDefault="00F612E6" w:rsidP="00F94015">
      <w:pPr>
        <w:pStyle w:val="BodyText"/>
      </w:pPr>
    </w:p>
    <w:p w14:paraId="2BE937D8" w14:textId="4602F64D" w:rsidR="00BC4997" w:rsidRDefault="00CE7151" w:rsidP="00BC4997">
      <w:pPr>
        <w:pStyle w:val="BodyText"/>
      </w:pPr>
      <w:r>
        <w:t>T</w:t>
      </w:r>
      <w:r w:rsidR="00BC4997">
        <w:t xml:space="preserve">o assist selection of maximum channel bandwidth, we consider the following channel bandwidth in addition to those agreed </w:t>
      </w:r>
      <w:r w:rsidR="00D4506D">
        <w:t xml:space="preserve">in </w:t>
      </w:r>
      <w:r w:rsidR="00D4506D">
        <w:fldChar w:fldCharType="begin"/>
      </w:r>
      <w:r w:rsidR="00D4506D">
        <w:instrText xml:space="preserve"> REF _Ref46321089 \r \h </w:instrText>
      </w:r>
      <w:r w:rsidR="00D4506D">
        <w:fldChar w:fldCharType="separate"/>
      </w:r>
      <w:r w:rsidR="00CF206F">
        <w:t>[7]</w:t>
      </w:r>
      <w:r w:rsidR="00D4506D">
        <w:fldChar w:fldCharType="end"/>
      </w:r>
      <w:r w:rsidR="00BC4997">
        <w:t>:</w:t>
      </w:r>
    </w:p>
    <w:p w14:paraId="4280153E" w14:textId="35368145" w:rsidR="00197712" w:rsidRDefault="00197712" w:rsidP="00197712">
      <w:pPr>
        <w:pStyle w:val="BodyText"/>
        <w:numPr>
          <w:ilvl w:val="0"/>
          <w:numId w:val="53"/>
        </w:numPr>
        <w:spacing w:after="0"/>
      </w:pPr>
      <w:r>
        <w:t>400 MHz: 256 RBs @ 120 kHz SCS</w:t>
      </w:r>
    </w:p>
    <w:p w14:paraId="28BF5213" w14:textId="63A92711" w:rsidR="00197712" w:rsidRDefault="00197712" w:rsidP="00197712">
      <w:pPr>
        <w:pStyle w:val="BodyText"/>
        <w:numPr>
          <w:ilvl w:val="0"/>
          <w:numId w:val="53"/>
        </w:numPr>
        <w:spacing w:after="0"/>
      </w:pPr>
      <w:r>
        <w:t>800 MHz: 256 RBs @ 240 kHz SCS</w:t>
      </w:r>
    </w:p>
    <w:p w14:paraId="1A6D73DE" w14:textId="00A2E05A" w:rsidR="00197712" w:rsidRDefault="00197712" w:rsidP="00197712">
      <w:pPr>
        <w:pStyle w:val="BodyText"/>
        <w:numPr>
          <w:ilvl w:val="0"/>
          <w:numId w:val="53"/>
        </w:numPr>
        <w:spacing w:after="0"/>
      </w:pPr>
      <w:r>
        <w:t>1600 MHz: 256 RBs @ 480 kHz SCS</w:t>
      </w:r>
    </w:p>
    <w:p w14:paraId="5F6CDEF5" w14:textId="6F13A453" w:rsidR="00197712" w:rsidRDefault="00197712" w:rsidP="00F94015">
      <w:pPr>
        <w:pStyle w:val="BodyText"/>
        <w:numPr>
          <w:ilvl w:val="0"/>
          <w:numId w:val="53"/>
        </w:numPr>
      </w:pPr>
      <w:r>
        <w:t>3200 MHz: 256 RBs @ 960 kHz SCS</w:t>
      </w:r>
    </w:p>
    <w:p w14:paraId="6D1FA1AF" w14:textId="48808CDB" w:rsidR="009F3CF7" w:rsidRDefault="002E62B1" w:rsidP="00BC4997">
      <w:pPr>
        <w:pStyle w:val="BodyText"/>
      </w:pPr>
      <w:r>
        <w:lastRenderedPageBreak/>
        <w:t xml:space="preserve">The link performance of these different sub-carrier spacing + channel bandwidth combinations </w:t>
      </w:r>
      <w:r w:rsidR="002219FB">
        <w:t xml:space="preserve">with CPE compensation is shown in </w:t>
      </w:r>
      <w:r w:rsidR="00803D78">
        <w:fldChar w:fldCharType="begin"/>
      </w:r>
      <w:r w:rsidR="00803D78">
        <w:instrText xml:space="preserve"> REF _Ref47352372 \h </w:instrText>
      </w:r>
      <w:r w:rsidR="00803D78">
        <w:fldChar w:fldCharType="separate"/>
      </w:r>
      <w:r w:rsidR="00CF206F" w:rsidRPr="00AA6731">
        <w:rPr>
          <w:rFonts w:cs="Arial"/>
        </w:rPr>
        <w:t xml:space="preserve">Figure </w:t>
      </w:r>
      <w:r w:rsidR="00CF206F">
        <w:rPr>
          <w:rFonts w:cs="Arial"/>
          <w:noProof/>
        </w:rPr>
        <w:t>5</w:t>
      </w:r>
      <w:r w:rsidR="00803D78">
        <w:fldChar w:fldCharType="end"/>
      </w:r>
      <w:r w:rsidR="002219FB">
        <w:t>.</w:t>
      </w:r>
      <w:r w:rsidR="00803D78">
        <w:t xml:space="preserve"> </w:t>
      </w:r>
      <w:r w:rsidR="00CF4776">
        <w:t xml:space="preserve">The </w:t>
      </w:r>
      <w:r w:rsidR="00D4506D">
        <w:t xml:space="preserve">same </w:t>
      </w:r>
      <w:r w:rsidR="00CF4776">
        <w:t xml:space="preserve">general observation </w:t>
      </w:r>
      <w:r w:rsidR="00D4506D">
        <w:t xml:space="preserve">can be made on the </w:t>
      </w:r>
      <w:r w:rsidR="00CF4776">
        <w:t xml:space="preserve">negative performance impact </w:t>
      </w:r>
      <w:r w:rsidR="00D4506D">
        <w:t xml:space="preserve">of phase noise </w:t>
      </w:r>
      <w:r w:rsidR="00CF4776">
        <w:t>on smaller sub-carrier spacings particularly for higher MCSs when only CPE compensation is performed</w:t>
      </w:r>
      <w:r w:rsidR="001613DD">
        <w:t xml:space="preserve">. However, </w:t>
      </w:r>
      <w:r w:rsidR="00D4506D">
        <w:t xml:space="preserve">as can be seen in the results with </w:t>
      </w:r>
      <w:r w:rsidR="009C7D0F">
        <w:t xml:space="preserve">ICI compensation shown in </w:t>
      </w:r>
      <w:r w:rsidR="00DA1524">
        <w:fldChar w:fldCharType="begin"/>
      </w:r>
      <w:r w:rsidR="00DA1524">
        <w:instrText xml:space="preserve"> REF _Ref47033187 \h </w:instrText>
      </w:r>
      <w:r w:rsidR="00DA1524">
        <w:fldChar w:fldCharType="separate"/>
      </w:r>
      <w:r w:rsidR="00CF206F" w:rsidRPr="00AA6731">
        <w:rPr>
          <w:rFonts w:cs="Arial"/>
        </w:rPr>
        <w:t xml:space="preserve">Figure </w:t>
      </w:r>
      <w:r w:rsidR="00CF206F">
        <w:rPr>
          <w:rFonts w:cs="Arial"/>
          <w:noProof/>
        </w:rPr>
        <w:t>6</w:t>
      </w:r>
      <w:r w:rsidR="00DA1524">
        <w:fldChar w:fldCharType="end"/>
      </w:r>
      <w:r w:rsidR="00DA1524">
        <w:t xml:space="preserve">, </w:t>
      </w:r>
      <w:r w:rsidR="00B80DD1">
        <w:t xml:space="preserve">there is </w:t>
      </w:r>
      <w:r w:rsidR="00B66F8B">
        <w:t xml:space="preserve">negligible </w:t>
      </w:r>
      <w:r w:rsidR="004B3538">
        <w:t xml:space="preserve">link performance difference between </w:t>
      </w:r>
      <w:r w:rsidR="00F85475">
        <w:t xml:space="preserve">240, 480 or </w:t>
      </w:r>
      <w:r w:rsidR="004B3538">
        <w:t>960 kHz SCS</w:t>
      </w:r>
      <w:r w:rsidR="004D4C5A" w:rsidRPr="004D4C5A">
        <w:t xml:space="preserve"> </w:t>
      </w:r>
      <w:r w:rsidR="004D4C5A">
        <w:t>in the range of typical link adaptation target of 10% BLER</w:t>
      </w:r>
      <w:r w:rsidR="00E52B21">
        <w:t>.</w:t>
      </w:r>
      <w:r w:rsidR="009C0A4E">
        <w:t xml:space="preserve"> </w:t>
      </w:r>
      <w:r w:rsidR="009C0A4E">
        <w:rPr>
          <w:szCs w:val="22"/>
        </w:rPr>
        <w:t>Therefore</w:t>
      </w:r>
      <w:r w:rsidR="009C0A4E">
        <w:t>, there is no need to drastically increase SCS, e.g., to 960 kHz, to combat phase noise.</w:t>
      </w:r>
    </w:p>
    <w:p w14:paraId="2893906A" w14:textId="067FC0DC" w:rsidR="00A830AF" w:rsidRPr="00DF24CA" w:rsidRDefault="00A830AF" w:rsidP="00A830AF">
      <w:pPr>
        <w:pStyle w:val="BodyText"/>
      </w:pPr>
      <w:r>
        <w:t xml:space="preserve">Comparing </w:t>
      </w:r>
      <w:r>
        <w:fldChar w:fldCharType="begin"/>
      </w:r>
      <w:r>
        <w:instrText xml:space="preserve"> REF _Ref46870085 \h </w:instrText>
      </w:r>
      <w:r>
        <w:fldChar w:fldCharType="separate"/>
      </w:r>
      <w:r w:rsidR="00CF206F" w:rsidRPr="00AA6731">
        <w:rPr>
          <w:rFonts w:cs="Arial"/>
        </w:rPr>
        <w:t xml:space="preserve">Figure </w:t>
      </w:r>
      <w:r w:rsidR="00CF206F">
        <w:rPr>
          <w:rFonts w:cs="Arial"/>
          <w:noProof/>
        </w:rPr>
        <w:t>3</w:t>
      </w:r>
      <w:r>
        <w:fldChar w:fldCharType="end"/>
      </w:r>
      <w:r>
        <w:t xml:space="preserve"> and </w:t>
      </w:r>
      <w:r>
        <w:fldChar w:fldCharType="begin"/>
      </w:r>
      <w:r>
        <w:instrText xml:space="preserve"> REF _Ref46870088 \h </w:instrText>
      </w:r>
      <w:r>
        <w:fldChar w:fldCharType="separate"/>
      </w:r>
      <w:r w:rsidR="00CF206F" w:rsidRPr="00AA6731">
        <w:rPr>
          <w:rFonts w:cs="Arial"/>
        </w:rPr>
        <w:t xml:space="preserve">Figure </w:t>
      </w:r>
      <w:r w:rsidR="00CF206F">
        <w:rPr>
          <w:rFonts w:cs="Arial"/>
          <w:noProof/>
        </w:rPr>
        <w:t>4</w:t>
      </w:r>
      <w:r>
        <w:fldChar w:fldCharType="end"/>
      </w:r>
      <w:r>
        <w:t xml:space="preserve"> as well as comparing </w:t>
      </w:r>
      <w:r>
        <w:fldChar w:fldCharType="begin"/>
      </w:r>
      <w:r>
        <w:instrText xml:space="preserve"> REF _Ref47352372 \h </w:instrText>
      </w:r>
      <w:r>
        <w:fldChar w:fldCharType="separate"/>
      </w:r>
      <w:r w:rsidR="00CF206F" w:rsidRPr="00AA6731">
        <w:rPr>
          <w:rFonts w:cs="Arial"/>
        </w:rPr>
        <w:t xml:space="preserve">Figure </w:t>
      </w:r>
      <w:r w:rsidR="00CF206F">
        <w:rPr>
          <w:rFonts w:cs="Arial"/>
          <w:noProof/>
        </w:rPr>
        <w:t>5</w:t>
      </w:r>
      <w:r>
        <w:fldChar w:fldCharType="end"/>
      </w:r>
      <w:r>
        <w:t xml:space="preserve"> and </w:t>
      </w:r>
      <w:r>
        <w:fldChar w:fldCharType="begin"/>
      </w:r>
      <w:r>
        <w:instrText xml:space="preserve"> REF _Ref47033187 \h </w:instrText>
      </w:r>
      <w:r>
        <w:fldChar w:fldCharType="separate"/>
      </w:r>
      <w:r w:rsidR="00CF206F" w:rsidRPr="00AA6731">
        <w:rPr>
          <w:rFonts w:cs="Arial"/>
        </w:rPr>
        <w:t xml:space="preserve">Figure </w:t>
      </w:r>
      <w:r w:rsidR="00CF206F">
        <w:rPr>
          <w:rFonts w:cs="Arial"/>
          <w:noProof/>
        </w:rPr>
        <w:t>6</w:t>
      </w:r>
      <w:r>
        <w:fldChar w:fldCharType="end"/>
      </w:r>
      <w:r>
        <w:t xml:space="preserve">, a </w:t>
      </w:r>
      <w:r w:rsidR="00E20CD6">
        <w:t>further</w:t>
      </w:r>
      <w:r>
        <w:t xml:space="preserve"> conclusion can be drawn that </w:t>
      </w:r>
      <w:r w:rsidR="00E81D44">
        <w:t xml:space="preserve">systems with smaller sub-carrier spacing equipped with simple ICI compensation can outperform systems with larger sub-carrier spacing equipped with only CPE compensation. </w:t>
      </w:r>
      <w:r w:rsidR="0004465D">
        <w:t>It</w:t>
      </w:r>
      <w:r w:rsidR="007F663C">
        <w:t xml:space="preserve"> should also be emphasized</w:t>
      </w:r>
      <w:r w:rsidR="0004465D">
        <w:t xml:space="preserve"> that t</w:t>
      </w:r>
      <w:r w:rsidR="00952BDA">
        <w:t xml:space="preserve">he outperformance </w:t>
      </w:r>
      <w:r w:rsidR="0004465D">
        <w:t xml:space="preserve">applies </w:t>
      </w:r>
      <w:r w:rsidR="00C3014D">
        <w:t xml:space="preserve">not only to higher MCS but, in fact, across all </w:t>
      </w:r>
      <w:r w:rsidR="00475978">
        <w:t xml:space="preserve">three </w:t>
      </w:r>
      <w:r w:rsidR="00C3014D">
        <w:t>modulation orders</w:t>
      </w:r>
      <w:r w:rsidR="00475978">
        <w:t>.</w:t>
      </w:r>
    </w:p>
    <w:p w14:paraId="6CEE1557" w14:textId="77777777" w:rsidR="00BC4997" w:rsidRPr="005C6F6E" w:rsidRDefault="00BC4997" w:rsidP="00BC4997">
      <w:pPr>
        <w:pStyle w:val="BodyText"/>
      </w:pPr>
    </w:p>
    <w:p w14:paraId="04B59143" w14:textId="7C6EB2F3" w:rsidR="00BC4997" w:rsidRPr="001B36D6" w:rsidRDefault="00BC4997" w:rsidP="00BC4997">
      <w:pPr>
        <w:pStyle w:val="Observation"/>
        <w:overflowPunct/>
        <w:autoSpaceDE/>
        <w:autoSpaceDN/>
        <w:adjustRightInd/>
        <w:spacing w:line="259" w:lineRule="auto"/>
        <w:ind w:left="1710" w:hanging="1710"/>
        <w:textAlignment w:val="auto"/>
      </w:pPr>
      <w:bookmarkStart w:id="63" w:name="_Toc47712018"/>
      <w:r>
        <w:t xml:space="preserve">Phase noise induced performance issues for the OFDM waveform in the 52.6 – 71 GHz frequency range can be </w:t>
      </w:r>
      <w:r w:rsidR="006A532B">
        <w:t xml:space="preserve">effectively </w:t>
      </w:r>
      <w:r>
        <w:t>addressed with the Rel-15 PTRS structure and simple ICI compensation algorithms. Performance with SCS of 480, 240, and 120 kHz SCS with simple ICI compensation is on par or better than the performance with 960 kHz with CPE compensation only.</w:t>
      </w:r>
      <w:bookmarkEnd w:id="63"/>
    </w:p>
    <w:p w14:paraId="43D3B590" w14:textId="77777777" w:rsidR="00BC4997" w:rsidRPr="006A174C" w:rsidRDefault="00BC4997" w:rsidP="00F94015">
      <w:pPr>
        <w:pStyle w:val="BodyText"/>
      </w:pPr>
    </w:p>
    <w:p w14:paraId="1C6166E4" w14:textId="436C6EEA" w:rsidR="001D1362" w:rsidRPr="00AA6731" w:rsidRDefault="1AAD7461" w:rsidP="001D1362">
      <w:pPr>
        <w:pStyle w:val="BodyText"/>
        <w:keepNext/>
        <w:rPr>
          <w:rFonts w:cs="Arial"/>
        </w:rPr>
      </w:pPr>
      <w:r>
        <w:rPr>
          <w:noProof/>
        </w:rPr>
        <w:drawing>
          <wp:inline distT="0" distB="0" distL="0" distR="0" wp14:anchorId="5B8C7D05" wp14:editId="3CD33E81">
            <wp:extent cx="3017520" cy="2261345"/>
            <wp:effectExtent l="0" t="0" r="0" b="5715"/>
            <wp:docPr id="140955213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8">
                      <a:extLst>
                        <a:ext uri="{28A0092B-C50C-407E-A947-70E740481C1C}">
                          <a14:useLocalDpi xmlns:a14="http://schemas.microsoft.com/office/drawing/2010/main" val="0"/>
                        </a:ext>
                      </a:extLst>
                    </a:blip>
                    <a:stretch>
                      <a:fillRect/>
                    </a:stretch>
                  </pic:blipFill>
                  <pic:spPr>
                    <a:xfrm>
                      <a:off x="0" y="0"/>
                      <a:ext cx="3017520" cy="2261345"/>
                    </a:xfrm>
                    <a:prstGeom prst="rect">
                      <a:avLst/>
                    </a:prstGeom>
                  </pic:spPr>
                </pic:pic>
              </a:graphicData>
            </a:graphic>
          </wp:inline>
        </w:drawing>
      </w:r>
      <w:r>
        <w:rPr>
          <w:noProof/>
        </w:rPr>
        <w:drawing>
          <wp:inline distT="0" distB="0" distL="0" distR="0" wp14:anchorId="706F92BC" wp14:editId="3EA704E1">
            <wp:extent cx="3017520" cy="2261343"/>
            <wp:effectExtent l="0" t="0" r="0" b="5715"/>
            <wp:docPr id="188432706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pic:nvPicPr>
                  <pic:blipFill>
                    <a:blip r:embed="rId19">
                      <a:extLst>
                        <a:ext uri="{28A0092B-C50C-407E-A947-70E740481C1C}">
                          <a14:useLocalDpi xmlns:a14="http://schemas.microsoft.com/office/drawing/2010/main" val="0"/>
                        </a:ext>
                      </a:extLst>
                    </a:blip>
                    <a:stretch>
                      <a:fillRect/>
                    </a:stretch>
                  </pic:blipFill>
                  <pic:spPr>
                    <a:xfrm>
                      <a:off x="0" y="0"/>
                      <a:ext cx="3017520" cy="2261343"/>
                    </a:xfrm>
                    <a:prstGeom prst="rect">
                      <a:avLst/>
                    </a:prstGeom>
                  </pic:spPr>
                </pic:pic>
              </a:graphicData>
            </a:graphic>
          </wp:inline>
        </w:drawing>
      </w:r>
    </w:p>
    <w:p w14:paraId="5FB4F598" w14:textId="6672621E" w:rsidR="001D1362" w:rsidRPr="00AA6731" w:rsidRDefault="001D1362" w:rsidP="001D1362">
      <w:pPr>
        <w:pStyle w:val="Caption"/>
        <w:jc w:val="both"/>
        <w:rPr>
          <w:rFonts w:ascii="Arial" w:hAnsi="Arial" w:cs="Arial"/>
        </w:rPr>
      </w:pPr>
      <w:bookmarkStart w:id="64" w:name="_Ref47352372"/>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CF206F">
        <w:rPr>
          <w:rFonts w:ascii="Arial" w:hAnsi="Arial" w:cs="Arial"/>
          <w:noProof/>
        </w:rPr>
        <w:t>5</w:t>
      </w:r>
      <w:r w:rsidRPr="003B0557">
        <w:rPr>
          <w:rFonts w:ascii="Arial" w:hAnsi="Arial" w:cs="Arial"/>
        </w:rPr>
        <w:fldChar w:fldCharType="end"/>
      </w:r>
      <w:bookmarkEnd w:id="64"/>
      <w:r w:rsidRPr="00AA6731">
        <w:rPr>
          <w:rFonts w:ascii="Arial" w:hAnsi="Arial" w:cs="Arial"/>
        </w:rPr>
        <w:t xml:space="preserve">: BLER for TDL-A with 5 </w:t>
      </w:r>
      <w:r w:rsidR="001F192A">
        <w:rPr>
          <w:rFonts w:ascii="Arial" w:hAnsi="Arial" w:cs="Arial"/>
        </w:rPr>
        <w:t>ns</w:t>
      </w:r>
      <w:r w:rsidRPr="00AA6731">
        <w:rPr>
          <w:rFonts w:ascii="Arial" w:hAnsi="Arial" w:cs="Arial"/>
        </w:rPr>
        <w:t xml:space="preserve"> and 10 ns with CPE compensation (performance results for MCS 7, MCS 16, and MCS 22 are plotted with red, black, and blue curves, respectively).</w:t>
      </w:r>
    </w:p>
    <w:p w14:paraId="3C3EADF9" w14:textId="256510A1" w:rsidR="001D1362" w:rsidRPr="00AA6731" w:rsidRDefault="1AAD7461" w:rsidP="001D1362">
      <w:pPr>
        <w:pStyle w:val="BodyText"/>
        <w:keepNext/>
        <w:rPr>
          <w:rFonts w:cs="Arial"/>
        </w:rPr>
      </w:pPr>
      <w:r>
        <w:rPr>
          <w:noProof/>
        </w:rPr>
        <w:drawing>
          <wp:inline distT="0" distB="0" distL="0" distR="0" wp14:anchorId="6668E574" wp14:editId="35B939A9">
            <wp:extent cx="3017520" cy="2242492"/>
            <wp:effectExtent l="0" t="0" r="0" b="5715"/>
            <wp:docPr id="52145219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pic:nvPicPr>
                  <pic:blipFill>
                    <a:blip r:embed="rId20">
                      <a:extLst>
                        <a:ext uri="{28A0092B-C50C-407E-A947-70E740481C1C}">
                          <a14:useLocalDpi xmlns:a14="http://schemas.microsoft.com/office/drawing/2010/main" val="0"/>
                        </a:ext>
                      </a:extLst>
                    </a:blip>
                    <a:stretch>
                      <a:fillRect/>
                    </a:stretch>
                  </pic:blipFill>
                  <pic:spPr>
                    <a:xfrm>
                      <a:off x="0" y="0"/>
                      <a:ext cx="3017520" cy="2242492"/>
                    </a:xfrm>
                    <a:prstGeom prst="rect">
                      <a:avLst/>
                    </a:prstGeom>
                  </pic:spPr>
                </pic:pic>
              </a:graphicData>
            </a:graphic>
          </wp:inline>
        </w:drawing>
      </w:r>
      <w:r>
        <w:rPr>
          <w:noProof/>
        </w:rPr>
        <w:drawing>
          <wp:inline distT="0" distB="0" distL="0" distR="0" wp14:anchorId="16065BB2" wp14:editId="14A21C2B">
            <wp:extent cx="3017520" cy="2242492"/>
            <wp:effectExtent l="0" t="0" r="0" b="5715"/>
            <wp:docPr id="183846538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21">
                      <a:extLst>
                        <a:ext uri="{28A0092B-C50C-407E-A947-70E740481C1C}">
                          <a14:useLocalDpi xmlns:a14="http://schemas.microsoft.com/office/drawing/2010/main" val="0"/>
                        </a:ext>
                      </a:extLst>
                    </a:blip>
                    <a:stretch>
                      <a:fillRect/>
                    </a:stretch>
                  </pic:blipFill>
                  <pic:spPr>
                    <a:xfrm>
                      <a:off x="0" y="0"/>
                      <a:ext cx="3017520" cy="2242492"/>
                    </a:xfrm>
                    <a:prstGeom prst="rect">
                      <a:avLst/>
                    </a:prstGeom>
                  </pic:spPr>
                </pic:pic>
              </a:graphicData>
            </a:graphic>
          </wp:inline>
        </w:drawing>
      </w:r>
    </w:p>
    <w:p w14:paraId="4BA4F68F" w14:textId="51EF6E3D" w:rsidR="001D1362" w:rsidRPr="00AA6731" w:rsidRDefault="001D1362" w:rsidP="001D1362">
      <w:pPr>
        <w:pStyle w:val="Caption"/>
        <w:jc w:val="both"/>
        <w:rPr>
          <w:rFonts w:ascii="Arial" w:hAnsi="Arial" w:cs="Arial"/>
        </w:rPr>
      </w:pPr>
      <w:bookmarkStart w:id="65" w:name="_Ref47033187"/>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CF206F">
        <w:rPr>
          <w:rFonts w:ascii="Arial" w:hAnsi="Arial" w:cs="Arial"/>
          <w:noProof/>
        </w:rPr>
        <w:t>6</w:t>
      </w:r>
      <w:r w:rsidRPr="003B0557">
        <w:rPr>
          <w:rFonts w:ascii="Arial" w:hAnsi="Arial" w:cs="Arial"/>
        </w:rPr>
        <w:fldChar w:fldCharType="end"/>
      </w:r>
      <w:bookmarkEnd w:id="65"/>
      <w:r w:rsidRPr="00AA6731">
        <w:rPr>
          <w:rFonts w:ascii="Arial" w:hAnsi="Arial" w:cs="Arial"/>
        </w:rPr>
        <w:t xml:space="preserve">: BLER for TDL-A with 5 </w:t>
      </w:r>
      <w:r w:rsidR="001F192A">
        <w:rPr>
          <w:rFonts w:ascii="Arial" w:hAnsi="Arial" w:cs="Arial"/>
        </w:rPr>
        <w:t>ns</w:t>
      </w:r>
      <w:r w:rsidRPr="00AA6731">
        <w:rPr>
          <w:rFonts w:ascii="Arial" w:hAnsi="Arial" w:cs="Arial"/>
        </w:rPr>
        <w:t xml:space="preserve"> and 10 ns with ICI compensation (performance results for MCS 7, MCS 16, and MCS 22 are plotted with red, black, and blue curves, respectively).</w:t>
      </w:r>
    </w:p>
    <w:p w14:paraId="5B9789D9" w14:textId="77777777" w:rsidR="002904C4" w:rsidRDefault="002904C4" w:rsidP="00DA4FF0">
      <w:pPr>
        <w:pStyle w:val="BodyText"/>
      </w:pPr>
    </w:p>
    <w:p w14:paraId="25F46431" w14:textId="40B9442C" w:rsidR="00AA6731" w:rsidRDefault="002A5BBB" w:rsidP="002A5BBB">
      <w:pPr>
        <w:pStyle w:val="Heading3"/>
      </w:pPr>
      <w:bookmarkStart w:id="66" w:name="_Toc47530173"/>
      <w:bookmarkStart w:id="67" w:name="_Toc46307394"/>
      <w:r>
        <w:lastRenderedPageBreak/>
        <w:t>3.1.</w:t>
      </w:r>
      <w:r w:rsidR="00AA6731">
        <w:t>2</w:t>
      </w:r>
      <w:r>
        <w:tab/>
      </w:r>
      <w:r w:rsidR="009F6EB4">
        <w:t xml:space="preserve">CDL </w:t>
      </w:r>
      <w:r w:rsidR="00AD33EE">
        <w:t xml:space="preserve">channel </w:t>
      </w:r>
      <w:r w:rsidR="009F6EB4">
        <w:t>evaluation results for CP-OFDM</w:t>
      </w:r>
      <w:bookmarkEnd w:id="66"/>
    </w:p>
    <w:p w14:paraId="3BCEC710" w14:textId="1389A6FA" w:rsidR="002A5BBB" w:rsidRPr="00AC5741" w:rsidRDefault="00DC1315" w:rsidP="00F94015">
      <w:pPr>
        <w:pStyle w:val="Heading4"/>
      </w:pPr>
      <w:r>
        <w:t>3.1.2.1</w:t>
      </w:r>
      <w:r>
        <w:tab/>
      </w:r>
      <w:r w:rsidR="000D2BB0" w:rsidRPr="002D696F">
        <w:t xml:space="preserve">Importance of </w:t>
      </w:r>
      <w:r w:rsidR="0096093A" w:rsidRPr="006A174C">
        <w:t>randomizing UE orientation</w:t>
      </w:r>
      <w:bookmarkEnd w:id="67"/>
    </w:p>
    <w:p w14:paraId="3D302C01" w14:textId="6B400F73" w:rsidR="007B400B" w:rsidRDefault="005B09F7" w:rsidP="007D123E">
      <w:pPr>
        <w:pStyle w:val="BodyText"/>
      </w:pPr>
      <w:r>
        <w:t>For evaluating the combined effects of phase noise and channel dispersion, t</w:t>
      </w:r>
      <w:r w:rsidR="0096093A">
        <w:t xml:space="preserve">he following </w:t>
      </w:r>
      <w:r>
        <w:t xml:space="preserve">link-level </w:t>
      </w:r>
      <w:r w:rsidR="0096093A">
        <w:t>evaluation assumptions for the channel model were agreed in the previous meeting</w:t>
      </w:r>
      <w:r w:rsidR="00572089">
        <w:t xml:space="preserve"> </w:t>
      </w:r>
      <w:r w:rsidR="007B400B">
        <w:t xml:space="preserve">(see extract from </w:t>
      </w:r>
      <w:r w:rsidR="0096093A">
        <w:fldChar w:fldCharType="begin"/>
      </w:r>
      <w:r w:rsidR="0096093A">
        <w:instrText xml:space="preserve"> REF _Ref46321089 \r \h </w:instrText>
      </w:r>
      <w:r w:rsidR="007D123E">
        <w:instrText xml:space="preserve"> \* MERGEFORMAT </w:instrText>
      </w:r>
      <w:r w:rsidR="0096093A">
        <w:fldChar w:fldCharType="separate"/>
      </w:r>
      <w:r w:rsidR="00CF206F">
        <w:t>[7]</w:t>
      </w:r>
      <w:r w:rsidR="0096093A">
        <w:fldChar w:fldCharType="end"/>
      </w:r>
      <w:r w:rsidR="007B400B">
        <w:t xml:space="preserve"> below)</w:t>
      </w:r>
      <w:r w:rsidR="0096093A">
        <w:t xml:space="preserve">. For the case of the CDL models, it was agreed </w:t>
      </w:r>
      <w:r w:rsidR="007B400B">
        <w:t>t</w:t>
      </w:r>
      <w:r w:rsidR="0096093A">
        <w:t xml:space="preserve">o use </w:t>
      </w:r>
      <w:r w:rsidR="007B400B">
        <w:t xml:space="preserve">at least </w:t>
      </w:r>
      <w:r w:rsidR="0096093A">
        <w:t xml:space="preserve">the tables from 38.901 Section 7.7.1 without scaling/translating the AoA/AoD/ZoA/ZoD angle values to match a particular </w:t>
      </w:r>
      <w:r w:rsidR="00A605A5">
        <w:t xml:space="preserve">propagation </w:t>
      </w:r>
      <w:r w:rsidR="0096093A">
        <w:t xml:space="preserve">environment. </w:t>
      </w:r>
      <w:r w:rsidR="007B400B">
        <w:t xml:space="preserve">Scaling/translation of these angle values was listed as </w:t>
      </w:r>
      <w:r w:rsidR="008715B9">
        <w:t>"</w:t>
      </w:r>
      <w:r w:rsidR="007B400B">
        <w:t>FFS</w:t>
      </w:r>
      <w:r w:rsidR="008715B9">
        <w:t>: modification of CDL-B/D model."</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0"/>
      </w:tblGrid>
      <w:tr w:rsidR="0096093A" w14:paraId="1D39A596" w14:textId="77777777" w:rsidTr="0096093A">
        <w:trPr>
          <w:trHeight w:val="470"/>
        </w:trPr>
        <w:tc>
          <w:tcPr>
            <w:tcW w:w="4744" w:type="dxa"/>
            <w:shd w:val="clear" w:color="auto" w:fill="E2EFD9" w:themeFill="accent6" w:themeFillTint="33"/>
            <w:vAlign w:val="center"/>
          </w:tcPr>
          <w:p w14:paraId="3FA44D63" w14:textId="77777777" w:rsidR="0096093A" w:rsidRPr="00F84247" w:rsidRDefault="0096093A" w:rsidP="000136B4">
            <w:pPr>
              <w:overflowPunct/>
              <w:autoSpaceDE/>
              <w:autoSpaceDN/>
              <w:adjustRightInd/>
              <w:spacing w:after="0"/>
              <w:jc w:val="center"/>
              <w:textAlignment w:val="auto"/>
              <w:rPr>
                <w:rFonts w:ascii="Arial" w:hAnsi="Arial" w:cs="Arial"/>
                <w:b/>
                <w:color w:val="000000"/>
                <w:sz w:val="18"/>
                <w:szCs w:val="18"/>
                <w:lang w:eastAsia="ko-KR"/>
              </w:rPr>
            </w:pPr>
            <w:r w:rsidRPr="00F84247">
              <w:rPr>
                <w:rFonts w:ascii="Arial" w:hAnsi="Arial" w:cs="Arial"/>
                <w:b/>
                <w:color w:val="000000"/>
                <w:sz w:val="18"/>
                <w:szCs w:val="18"/>
                <w:lang w:eastAsia="ko-KR"/>
              </w:rPr>
              <w:t>Channel Model</w:t>
            </w:r>
          </w:p>
        </w:tc>
      </w:tr>
      <w:tr w:rsidR="0096093A" w14:paraId="507386B5" w14:textId="77777777" w:rsidTr="0096093A">
        <w:trPr>
          <w:trHeight w:val="298"/>
        </w:trPr>
        <w:tc>
          <w:tcPr>
            <w:tcW w:w="4744" w:type="dxa"/>
            <w:tcBorders>
              <w:top w:val="single" w:sz="4" w:space="0" w:color="auto"/>
              <w:left w:val="single" w:sz="4" w:space="0" w:color="auto"/>
              <w:bottom w:val="single" w:sz="4" w:space="0" w:color="auto"/>
              <w:right w:val="single" w:sz="4" w:space="0" w:color="auto"/>
            </w:tcBorders>
            <w:shd w:val="clear" w:color="auto" w:fill="FFFFFF" w:themeFill="background1"/>
          </w:tcPr>
          <w:p w14:paraId="47921E12" w14:textId="325DD9AC"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TDL model as defined in of TR38.901 Section 7.7.2:</w:t>
            </w:r>
          </w:p>
          <w:p w14:paraId="4B986351" w14:textId="77777777" w:rsidR="0096093A" w:rsidRPr="00F84247" w:rsidRDefault="0096093A" w:rsidP="00A80A39">
            <w:pPr>
              <w:overflowPunct/>
              <w:autoSpaceDE/>
              <w:autoSpaceDN/>
              <w:adjustRightInd/>
              <w:spacing w:after="0"/>
              <w:jc w:val="both"/>
              <w:textAlignment w:val="auto"/>
              <w:rPr>
                <w:rFonts w:ascii="Arial" w:hAnsi="Arial" w:cs="Arial"/>
                <w:strike/>
                <w:sz w:val="18"/>
                <w:szCs w:val="18"/>
                <w:lang w:eastAsia="zh-CN"/>
              </w:rPr>
            </w:pPr>
            <w:r w:rsidRPr="00F84247">
              <w:rPr>
                <w:rFonts w:ascii="Arial" w:hAnsi="Arial" w:cs="Arial"/>
                <w:sz w:val="18"/>
                <w:szCs w:val="18"/>
                <w:lang w:eastAsia="zh-CN"/>
              </w:rPr>
              <w:t xml:space="preserve">- TDL-A (5ns, 10ns, DS) </w:t>
            </w:r>
          </w:p>
          <w:p w14:paraId="3026FEE8"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xml:space="preserve">- optional DS for consideration: 20ns, 40ns, 60ns DS </w:t>
            </w:r>
          </w:p>
          <w:p w14:paraId="630DD402"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p>
          <w:p w14:paraId="248B46BE"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CDL model as defined in of TR38.901 Section 7.7.1:</w:t>
            </w:r>
          </w:p>
          <w:p w14:paraId="0E259DB9"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val="de-DE" w:eastAsia="zh-CN"/>
              </w:rPr>
            </w:pPr>
            <w:r w:rsidRPr="00F84247">
              <w:rPr>
                <w:rFonts w:ascii="Arial" w:hAnsi="Arial" w:cs="Arial"/>
                <w:sz w:val="18"/>
                <w:szCs w:val="18"/>
                <w:lang w:val="de-DE" w:eastAsia="zh-CN"/>
              </w:rPr>
              <w:t>- CDL-B (20ns, 50ns DS)</w:t>
            </w:r>
          </w:p>
          <w:p w14:paraId="54208C9C"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CDL-D (20ns, 30ns DS) with K-factor = 10 dB</w:t>
            </w:r>
          </w:p>
          <w:p w14:paraId="7FBF24AB"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xml:space="preserve">- optional DS for consideration: 100ns DS </w:t>
            </w:r>
          </w:p>
          <w:p w14:paraId="62EEB8D1"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p>
          <w:p w14:paraId="7B351E23"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FFS: modification CDL-B/D model</w:t>
            </w:r>
          </w:p>
          <w:p w14:paraId="3FD21A5A" w14:textId="77777777" w:rsidR="0096093A" w:rsidRPr="00F84247" w:rsidRDefault="0096093A" w:rsidP="00A80A39">
            <w:pPr>
              <w:spacing w:after="0"/>
              <w:ind w:left="288"/>
              <w:jc w:val="both"/>
              <w:rPr>
                <w:rFonts w:ascii="Arial" w:hAnsi="Arial" w:cs="Arial"/>
                <w:sz w:val="18"/>
                <w:szCs w:val="18"/>
                <w:lang w:eastAsia="zh-CN"/>
              </w:rPr>
            </w:pPr>
            <w:r w:rsidRPr="00F84247">
              <w:rPr>
                <w:rFonts w:ascii="Arial" w:hAnsi="Arial" w:cs="Arial"/>
                <w:sz w:val="18"/>
                <w:szCs w:val="18"/>
                <w:lang w:eastAsia="zh-CN"/>
              </w:rPr>
              <w:t>(a) Indoor Office NLOS: CDL-B (20 ns DS), and Indoor Office LOS: CDL-D (20 ns DS)</w:t>
            </w:r>
          </w:p>
          <w:p w14:paraId="7A49CF6D"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angular spread values from Table 7.5.6-Part2 (for ASD, ASA, and ZSA) and Table 7.5-10 (for ZSD)</w:t>
            </w:r>
          </w:p>
          <w:p w14:paraId="7CA7758A"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angles of CDL-B/D for desired mean angles as baseline (no angle translation)</w:t>
            </w:r>
          </w:p>
          <w:p w14:paraId="3F553388"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Note that the angular spread values in the table are quoted in log units</w:t>
            </w:r>
          </w:p>
          <w:p w14:paraId="42A6C0BF"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Mean K-factor for CDL-D from Table 7.5.6-Part2 (9 dB)</w:t>
            </w:r>
          </w:p>
          <w:p w14:paraId="123D3F26" w14:textId="77777777" w:rsidR="0096093A" w:rsidRPr="00F84247" w:rsidRDefault="0096093A" w:rsidP="00A80A39">
            <w:pPr>
              <w:spacing w:after="0"/>
              <w:ind w:left="288"/>
              <w:jc w:val="both"/>
              <w:rPr>
                <w:rFonts w:ascii="Arial" w:hAnsi="Arial" w:cs="Arial"/>
                <w:sz w:val="18"/>
                <w:szCs w:val="18"/>
                <w:lang w:eastAsia="zh-CN"/>
              </w:rPr>
            </w:pPr>
            <w:r w:rsidRPr="00F84247">
              <w:rPr>
                <w:rFonts w:ascii="Arial" w:hAnsi="Arial" w:cs="Arial"/>
                <w:sz w:val="18"/>
                <w:szCs w:val="18"/>
                <w:lang w:eastAsia="zh-CN"/>
              </w:rPr>
              <w:t>(b) UMi – Street Canyon NLOS: CDL-B (50 ns DS), and UMi – Street Canyon LOS: CDL-D (30 ns)</w:t>
            </w:r>
          </w:p>
          <w:p w14:paraId="52AC4D86"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angular spread values from Table 7.5.6-Part1 (for ASD, ASA, and ZSA) and Table 7.5-8 (for ZSD).</w:t>
            </w:r>
          </w:p>
          <w:p w14:paraId="3726FAC7"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angles of CDL-B/D for desired mean angles as baseline (no angle translation)</w:t>
            </w:r>
          </w:p>
          <w:p w14:paraId="6D6F69C0"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Note that the angular spread values in the table are quoted in log units</w:t>
            </w:r>
          </w:p>
          <w:p w14:paraId="6638D333"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K-factor for CDL-D from Table 7.5.6-Part1 (7 dB)</w:t>
            </w:r>
          </w:p>
          <w:p w14:paraId="2D0B2D76" w14:textId="77777777" w:rsidR="0096093A" w:rsidRPr="00F84247" w:rsidRDefault="0096093A" w:rsidP="00A80A39">
            <w:pPr>
              <w:spacing w:after="0"/>
              <w:ind w:left="288"/>
              <w:jc w:val="both"/>
              <w:rPr>
                <w:rFonts w:ascii="Arial" w:hAnsi="Arial" w:cs="Arial"/>
                <w:sz w:val="18"/>
                <w:szCs w:val="18"/>
                <w:lang w:eastAsia="zh-CN"/>
              </w:rPr>
            </w:pPr>
            <w:r w:rsidRPr="00F84247">
              <w:rPr>
                <w:rFonts w:ascii="Arial" w:hAnsi="Arial" w:cs="Arial"/>
                <w:sz w:val="18"/>
                <w:szCs w:val="18"/>
                <w:lang w:eastAsia="zh-CN"/>
              </w:rPr>
              <w:t>Note: Mean angular spread values are used as desired AS value to scale the ray angles as described in TR38.901 section 7.7.5.1. As baseline, the ray angles are not translated, meaning (TR38.901 section 7.7.5.1). If companies perform translation of the ray angles they are encouraged to report the details. The mean K-factor is used to scale the tap powers as described in TR38.901 section 7.7.6.</w:t>
            </w:r>
          </w:p>
          <w:p w14:paraId="20DBCADB"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p>
          <w:p w14:paraId="05423C57" w14:textId="24AA0195"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Note: for TDL/CDL model, the delay spread (DS) value mentioned is the delay spread scaling value (i.e. corresponding to normalized delay of 1.0).</w:t>
            </w:r>
          </w:p>
          <w:p w14:paraId="59117E4A"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xml:space="preserve">Note2: Other models (either TDL or CDL) with DS values not listed are optional. </w:t>
            </w:r>
          </w:p>
          <w:p w14:paraId="63FF33CF" w14:textId="3EE3B038" w:rsidR="0096093A" w:rsidRPr="00F84247" w:rsidRDefault="0096093A" w:rsidP="008E457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Note3: Companies are encouraged to provide evaluation results with motivation/justification of simulated DS values.</w:t>
            </w:r>
          </w:p>
        </w:tc>
      </w:tr>
    </w:tbl>
    <w:p w14:paraId="468D8E99" w14:textId="77777777" w:rsidR="0096093A" w:rsidRPr="0096093A" w:rsidRDefault="0096093A" w:rsidP="008023FD">
      <w:pPr>
        <w:pStyle w:val="BodyText"/>
      </w:pPr>
    </w:p>
    <w:p w14:paraId="2C1CC840" w14:textId="27F6531B" w:rsidR="008715B9" w:rsidRDefault="008715B9" w:rsidP="00DA4FF0">
      <w:pPr>
        <w:pStyle w:val="BodyText"/>
      </w:pPr>
      <w:r>
        <w:t xml:space="preserve">Here we discuss the FFS item on scaling/translating the angle values and we demonstrate the importance of not only translating the mean angles, but also randomizing the translation. </w:t>
      </w:r>
      <w:r w:rsidR="00762AA1">
        <w:t xml:space="preserve">We point out that a fixed UE orientation with a random translation of the mean angles of arrival is </w:t>
      </w:r>
      <w:r>
        <w:t>equivalent to randomizing the UE orientation w.r.t. the gNB as would occur in a practical system. We show that if the mean angles are not randomized, it can lead to an underestimation of the post-beamforming delay spread, thus underestimating the required CP lengths.</w:t>
      </w:r>
    </w:p>
    <w:p w14:paraId="452B8867" w14:textId="37F52C39" w:rsidR="00EC48DD" w:rsidRDefault="00572089" w:rsidP="00DA4FF0">
      <w:pPr>
        <w:pStyle w:val="BodyText"/>
      </w:pPr>
      <w:r>
        <w:fldChar w:fldCharType="begin"/>
      </w:r>
      <w:r>
        <w:instrText xml:space="preserve"> REF _Ref46322596 \h </w:instrText>
      </w:r>
      <w:r>
        <w:fldChar w:fldCharType="separate"/>
      </w:r>
      <w:r w:rsidR="00CF206F" w:rsidRPr="00F12222">
        <w:t xml:space="preserve">Figure </w:t>
      </w:r>
      <w:r w:rsidR="00CF206F">
        <w:rPr>
          <w:noProof/>
        </w:rPr>
        <w:t>7</w:t>
      </w:r>
      <w:r>
        <w:fldChar w:fldCharType="end"/>
      </w:r>
      <w:r>
        <w:t xml:space="preserve"> shows the AoD (from the gNB) and the AoA (at the UE) </w:t>
      </w:r>
      <w:r w:rsidR="006065FC">
        <w:t>corresponding to</w:t>
      </w:r>
      <w:r>
        <w:t xml:space="preserve"> each of the clusters</w:t>
      </w:r>
      <w:r w:rsidR="006065FC">
        <w:t xml:space="preserve"> of the CDL-B model</w:t>
      </w:r>
      <w:r>
        <w:t xml:space="preserve"> </w:t>
      </w:r>
      <w:r w:rsidR="001D3572">
        <w:t>listed</w:t>
      </w:r>
      <w:r>
        <w:t xml:space="preserve"> </w:t>
      </w:r>
      <w:r w:rsidR="001D3572">
        <w:t xml:space="preserve">in </w:t>
      </w:r>
      <w:r>
        <w:t>Table</w:t>
      </w:r>
      <w:r w:rsidR="001D3572">
        <w:t xml:space="preserve"> 7.7.1-2</w:t>
      </w:r>
      <w:r w:rsidR="006065FC">
        <w:t xml:space="preserve"> </w:t>
      </w:r>
      <w:r w:rsidR="001D3572">
        <w:t xml:space="preserve">in 38.901 </w:t>
      </w:r>
      <w:r w:rsidR="001D3572">
        <w:fldChar w:fldCharType="begin"/>
      </w:r>
      <w:r w:rsidR="001D3572">
        <w:instrText xml:space="preserve"> REF _Ref39243485 \r \h </w:instrText>
      </w:r>
      <w:r w:rsidR="001D3572">
        <w:fldChar w:fldCharType="separate"/>
      </w:r>
      <w:r w:rsidR="00CF206F">
        <w:t>[8]</w:t>
      </w:r>
      <w:r w:rsidR="001D3572">
        <w:fldChar w:fldCharType="end"/>
      </w:r>
      <w:r w:rsidR="006065FC">
        <w:t xml:space="preserve">. </w:t>
      </w:r>
      <w:r w:rsidR="001D3572">
        <w:t>The power of each cluster is represented by the radial axis of each polar plot.</w:t>
      </w:r>
      <w:r w:rsidR="006065FC">
        <w:t xml:space="preserve"> </w:t>
      </w:r>
      <w:r w:rsidR="00EC48DD">
        <w:t xml:space="preserve">The agreed antenna element patterns for gNB and UE (see </w:t>
      </w:r>
      <w:r w:rsidR="00EC48DD">
        <w:fldChar w:fldCharType="begin"/>
      </w:r>
      <w:r w:rsidR="00EC48DD">
        <w:instrText xml:space="preserve"> REF _Ref46321089 \r \h  \* MERGEFORMAT </w:instrText>
      </w:r>
      <w:r w:rsidR="00EC48DD">
        <w:fldChar w:fldCharType="separate"/>
      </w:r>
      <w:r w:rsidR="00CF206F">
        <w:t>[7]</w:t>
      </w:r>
      <w:r w:rsidR="00EC48DD">
        <w:fldChar w:fldCharType="end"/>
      </w:r>
      <w:r w:rsidR="00EC48DD">
        <w:t>) are superimposed on each plot to indicate the relative orientation of gNB and UE. I</w:t>
      </w:r>
      <w:r w:rsidR="008A766F">
        <w:t>t is important to recognize that each cluster represented by a point in the polar plots corresponds to a different delay</w:t>
      </w:r>
      <w:r w:rsidR="00EC48DD">
        <w:t xml:space="preserve">. The delays are </w:t>
      </w:r>
      <w:r w:rsidR="009505F3">
        <w:t xml:space="preserve">illustrated in </w:t>
      </w:r>
      <w:r w:rsidR="00762AA1">
        <w:fldChar w:fldCharType="begin"/>
      </w:r>
      <w:r w:rsidR="00762AA1">
        <w:instrText xml:space="preserve"> REF _Ref47618887 \h </w:instrText>
      </w:r>
      <w:r w:rsidR="00762AA1">
        <w:fldChar w:fldCharType="separate"/>
      </w:r>
      <w:r w:rsidR="00CF206F">
        <w:t xml:space="preserve">Figure </w:t>
      </w:r>
      <w:r w:rsidR="00CF206F">
        <w:rPr>
          <w:noProof/>
        </w:rPr>
        <w:t>8</w:t>
      </w:r>
      <w:r w:rsidR="00762AA1">
        <w:fldChar w:fldCharType="end"/>
      </w:r>
      <w:r w:rsidR="009505F3">
        <w:t>.</w:t>
      </w:r>
    </w:p>
    <w:p w14:paraId="6ED03377" w14:textId="69BDF0E8" w:rsidR="001716CC" w:rsidRDefault="00EC48DD" w:rsidP="00DA4FF0">
      <w:pPr>
        <w:pStyle w:val="BodyText"/>
      </w:pPr>
      <w:r>
        <w:t xml:space="preserve">It is important to emphasize that the clusters and corresponding delays shown in </w:t>
      </w:r>
      <w:r>
        <w:fldChar w:fldCharType="begin"/>
      </w:r>
      <w:r>
        <w:instrText xml:space="preserve"> REF _Ref46322596 \h </w:instrText>
      </w:r>
      <w:r>
        <w:fldChar w:fldCharType="separate"/>
      </w:r>
      <w:r w:rsidR="00CF206F" w:rsidRPr="00F12222">
        <w:t xml:space="preserve">Figure </w:t>
      </w:r>
      <w:r w:rsidR="00CF206F">
        <w:rPr>
          <w:noProof/>
        </w:rPr>
        <w:t>7</w:t>
      </w:r>
      <w:r>
        <w:fldChar w:fldCharType="end"/>
      </w:r>
      <w:r>
        <w:t xml:space="preserve"> </w:t>
      </w:r>
      <w:r w:rsidR="00762AA1">
        <w:t xml:space="preserve">and </w:t>
      </w:r>
      <w:r w:rsidR="00762AA1">
        <w:fldChar w:fldCharType="begin"/>
      </w:r>
      <w:r w:rsidR="00762AA1">
        <w:instrText xml:space="preserve"> REF _Ref47618887 \h </w:instrText>
      </w:r>
      <w:r w:rsidR="00762AA1">
        <w:fldChar w:fldCharType="separate"/>
      </w:r>
      <w:r w:rsidR="00CF206F">
        <w:t xml:space="preserve">Figure </w:t>
      </w:r>
      <w:r w:rsidR="00CF206F">
        <w:rPr>
          <w:noProof/>
        </w:rPr>
        <w:t>8</w:t>
      </w:r>
      <w:r w:rsidR="00762AA1">
        <w:fldChar w:fldCharType="end"/>
      </w:r>
      <w:r w:rsidR="00762AA1">
        <w:t xml:space="preserve"> </w:t>
      </w:r>
      <w:r>
        <w:t xml:space="preserve">are prior to application of beamforming. Thus, the actual </w:t>
      </w:r>
      <w:r w:rsidR="008A766F">
        <w:t xml:space="preserve">set of observed delays </w:t>
      </w:r>
      <w:r>
        <w:t>post</w:t>
      </w:r>
      <w:r w:rsidR="00762AA1">
        <w:t>-</w:t>
      </w:r>
      <w:r>
        <w:t xml:space="preserve">beamforming </w:t>
      </w:r>
      <w:r w:rsidR="008A766F">
        <w:t>depends on the selected gNB-UE beam pair.</w:t>
      </w:r>
      <w:r>
        <w:t xml:space="preserve"> If the UE orientation is not randomized (equivalently, if the mean AoA is not randomized), </w:t>
      </w:r>
      <w:r w:rsidR="001716CC">
        <w:t>roughly the same set of clusters</w:t>
      </w:r>
      <w:r w:rsidR="001716CC" w:rsidRPr="001716CC">
        <w:t xml:space="preserve"> </w:t>
      </w:r>
      <w:r w:rsidR="001716CC">
        <w:t xml:space="preserve">will be illuminated during a simulation run since there will be little variation in the selected gNB-UE beam pair. Randomizing the UE orientation (equivalently, the mean AoA) during a simulation run ensures that there will be different selected beam pairs that illuminate different sets of clusters, resulting in different sets of observed delays post-beamforming. Our results show that such </w:t>
      </w:r>
      <w:r w:rsidR="001716CC">
        <w:lastRenderedPageBreak/>
        <w:t>randomization affects the post-beamforming delay spread CDF which we believe results in more realistic modeling compared to a fixed UE orientation.</w:t>
      </w:r>
    </w:p>
    <w:p w14:paraId="7959076E" w14:textId="4F146083" w:rsidR="006B4D22" w:rsidRDefault="008A766F" w:rsidP="00DA4FF0">
      <w:pPr>
        <w:pStyle w:val="BodyText"/>
      </w:pPr>
      <w:r>
        <w:t xml:space="preserve">The CDF in </w:t>
      </w:r>
      <w:r>
        <w:fldChar w:fldCharType="begin"/>
      </w:r>
      <w:r>
        <w:instrText xml:space="preserve"> REF _Ref46327724 \h </w:instrText>
      </w:r>
      <w:r>
        <w:fldChar w:fldCharType="separate"/>
      </w:r>
      <w:r w:rsidR="00CF206F" w:rsidRPr="00E90690">
        <w:t>Figure</w:t>
      </w:r>
      <w:r w:rsidR="00CF206F" w:rsidRPr="00F94015">
        <w:t xml:space="preserve"> </w:t>
      </w:r>
      <w:r w:rsidR="00CF206F">
        <w:rPr>
          <w:noProof/>
        </w:rPr>
        <w:t>9</w:t>
      </w:r>
      <w:r>
        <w:fldChar w:fldCharType="end"/>
      </w:r>
      <w:r>
        <w:t xml:space="preserve"> shows </w:t>
      </w:r>
      <w:r w:rsidR="001F59F1">
        <w:t xml:space="preserve">the post beamforming RMS delay spreads over </w:t>
      </w:r>
      <w:r w:rsidR="00A369C3">
        <w:t xml:space="preserve">1000 </w:t>
      </w:r>
      <w:r w:rsidR="001F59F1">
        <w:t xml:space="preserve">fading realizations of the CDL-B channel where for each fading realization, the mean </w:t>
      </w:r>
      <w:r w:rsidR="004E7642">
        <w:t xml:space="preserve">AoAs </w:t>
      </w:r>
      <w:r w:rsidR="001F59F1">
        <w:t xml:space="preserve">are randomized as discussed above to emulate different relative gNB/UE orientations. </w:t>
      </w:r>
      <w:r w:rsidR="001C09D3">
        <w:t xml:space="preserve">Two approaches to emulating </w:t>
      </w:r>
      <w:r w:rsidR="00314722">
        <w:t xml:space="preserve">dual-panel operation are compared. </w:t>
      </w:r>
      <w:r w:rsidR="00F750B9">
        <w:t>The f</w:t>
      </w:r>
      <w:r w:rsidR="00D96F4C">
        <w:t>irst approach consists of fix</w:t>
      </w:r>
      <w:r w:rsidR="00E00AD2">
        <w:t xml:space="preserve">ing the UE orientation to </w:t>
      </w:r>
      <m:oMath>
        <m:sSup>
          <m:sSupPr>
            <m:ctrlPr>
              <w:rPr>
                <w:rFonts w:ascii="Cambria Math" w:hAnsi="Cambria Math"/>
                <w:i/>
              </w:rPr>
            </m:ctrlPr>
          </m:sSupPr>
          <m:e>
            <m:r>
              <w:rPr>
                <w:rFonts w:ascii="Cambria Math" w:hAnsi="Cambria Math"/>
              </w:rPr>
              <m:t>180</m:t>
            </m:r>
          </m:e>
          <m:sup>
            <m:r>
              <w:rPr>
                <w:rFonts w:ascii="Cambria Math" w:hAnsi="Cambria Math"/>
              </w:rPr>
              <m:t>°</m:t>
            </m:r>
          </m:sup>
        </m:sSup>
      </m:oMath>
      <w:r w:rsidR="00E00AD2">
        <w:t xml:space="preserve"> and </w:t>
      </w:r>
      <w:r w:rsidR="001E1BA1">
        <w:t xml:space="preserve">not opting to </w:t>
      </w:r>
      <w:r w:rsidR="009821A1">
        <w:t>random</w:t>
      </w:r>
      <w:r w:rsidR="00735EF5">
        <w:t xml:space="preserve">ly </w:t>
      </w:r>
      <w:r w:rsidR="00A16F5D">
        <w:t xml:space="preserve">translate </w:t>
      </w:r>
      <w:r w:rsidR="00D13903">
        <w:t>the</w:t>
      </w:r>
      <w:r w:rsidR="002B0EA6">
        <w:t xml:space="preserve"> mean</w:t>
      </w:r>
      <w:r w:rsidR="00D13903">
        <w:t xml:space="preserve"> AoA</w:t>
      </w:r>
      <w:r w:rsidR="008E73AF">
        <w:t xml:space="preserve">. In this case, </w:t>
      </w:r>
      <w:r w:rsidR="00D21B18">
        <w:t xml:space="preserve">mean AoA attains </w:t>
      </w:r>
      <w:r w:rsidR="00EE0BA8">
        <w:t xml:space="preserve">its default value of </w:t>
      </w:r>
      <m:oMath>
        <m:sSup>
          <m:sSupPr>
            <m:ctrlPr>
              <w:rPr>
                <w:rFonts w:ascii="Cambria Math" w:hAnsi="Cambria Math"/>
                <w:i/>
              </w:rPr>
            </m:ctrlPr>
          </m:sSupPr>
          <m:e>
            <m:r>
              <w:rPr>
                <w:rFonts w:ascii="Cambria Math" w:hAnsi="Cambria Math"/>
              </w:rPr>
              <m:t>176.6</m:t>
            </m:r>
          </m:e>
          <m:sup>
            <m:r>
              <w:rPr>
                <w:rFonts w:ascii="Cambria Math" w:hAnsi="Cambria Math"/>
              </w:rPr>
              <m:t>°</m:t>
            </m:r>
          </m:sup>
        </m:sSup>
      </m:oMath>
      <w:r w:rsidR="005F43A7">
        <w:t>. This setu</w:t>
      </w:r>
      <w:r w:rsidR="006201A7">
        <w:t xml:space="preserve">p can be interpreted as </w:t>
      </w:r>
      <w:r w:rsidR="006E363E">
        <w:rPr>
          <w:i/>
          <w:iCs/>
        </w:rPr>
        <w:t xml:space="preserve">dual panel operation </w:t>
      </w:r>
      <w:r w:rsidR="002B1CE2">
        <w:rPr>
          <w:i/>
          <w:iCs/>
        </w:rPr>
        <w:t xml:space="preserve">with </w:t>
      </w:r>
      <w:r w:rsidR="006E363E">
        <w:rPr>
          <w:i/>
          <w:iCs/>
        </w:rPr>
        <w:t xml:space="preserve">UE </w:t>
      </w:r>
      <w:r w:rsidR="00B524DC">
        <w:rPr>
          <w:i/>
          <w:iCs/>
        </w:rPr>
        <w:t xml:space="preserve">(nearly) </w:t>
      </w:r>
      <w:r w:rsidR="0089588F">
        <w:rPr>
          <w:i/>
          <w:iCs/>
        </w:rPr>
        <w:t xml:space="preserve">perfectly </w:t>
      </w:r>
      <w:r w:rsidR="00835677">
        <w:rPr>
          <w:i/>
          <w:iCs/>
        </w:rPr>
        <w:t xml:space="preserve">oriented towards </w:t>
      </w:r>
      <w:r w:rsidR="0088694B">
        <w:rPr>
          <w:i/>
          <w:iCs/>
        </w:rPr>
        <w:t>the mean AoA</w:t>
      </w:r>
      <w:r w:rsidR="003B4535">
        <w:t>.</w:t>
      </w:r>
      <w:r w:rsidR="006E363E">
        <w:t xml:space="preserve"> </w:t>
      </w:r>
      <w:r w:rsidR="006B4D22">
        <w:t xml:space="preserve">This is </w:t>
      </w:r>
      <w:r w:rsidR="001F59F1">
        <w:t xml:space="preserve">the </w:t>
      </w:r>
      <w:r w:rsidR="006B4D22">
        <w:t xml:space="preserve">static scenario illustrated </w:t>
      </w:r>
      <w:r w:rsidR="008E2840">
        <w:t>in</w:t>
      </w:r>
      <w:r w:rsidR="006B4D22">
        <w:t xml:space="preserve"> </w:t>
      </w:r>
      <w:r w:rsidR="006B4D22">
        <w:fldChar w:fldCharType="begin"/>
      </w:r>
      <w:r w:rsidR="006B4D22">
        <w:instrText xml:space="preserve"> REF _Ref46322596 \h </w:instrText>
      </w:r>
      <w:r w:rsidR="006B4D22">
        <w:fldChar w:fldCharType="separate"/>
      </w:r>
      <w:r w:rsidR="00CF206F" w:rsidRPr="00F12222">
        <w:t xml:space="preserve">Figure </w:t>
      </w:r>
      <w:r w:rsidR="00CF206F">
        <w:rPr>
          <w:noProof/>
        </w:rPr>
        <w:t>7</w:t>
      </w:r>
      <w:r w:rsidR="006B4D22">
        <w:fldChar w:fldCharType="end"/>
      </w:r>
      <w:r w:rsidR="006B4D22">
        <w:t>.</w:t>
      </w:r>
    </w:p>
    <w:p w14:paraId="2923273C" w14:textId="74719645" w:rsidR="00762AA1" w:rsidRDefault="001264A2" w:rsidP="00DA4FF0">
      <w:pPr>
        <w:pStyle w:val="BodyText"/>
      </w:pPr>
      <w:r>
        <w:t>In</w:t>
      </w:r>
      <w:r w:rsidR="001F59F1">
        <w:t xml:space="preserve"> the </w:t>
      </w:r>
      <w:r>
        <w:t xml:space="preserve">second approach, </w:t>
      </w:r>
      <w:r w:rsidR="00353180">
        <w:t xml:space="preserve">the UE orientation is fixed to </w:t>
      </w:r>
      <m:oMath>
        <m:sSup>
          <m:sSupPr>
            <m:ctrlPr>
              <w:rPr>
                <w:rFonts w:ascii="Cambria Math" w:hAnsi="Cambria Math"/>
                <w:i/>
              </w:rPr>
            </m:ctrlPr>
          </m:sSupPr>
          <m:e>
            <m:r>
              <w:rPr>
                <w:rFonts w:ascii="Cambria Math" w:hAnsi="Cambria Math"/>
              </w:rPr>
              <m:t>180</m:t>
            </m:r>
          </m:e>
          <m:sup>
            <m:r>
              <w:rPr>
                <w:rFonts w:ascii="Cambria Math" w:hAnsi="Cambria Math"/>
              </w:rPr>
              <m:t>°</m:t>
            </m:r>
          </m:sup>
        </m:sSup>
      </m:oMath>
      <w:r w:rsidR="001F59F1">
        <w:t xml:space="preserve"> </w:t>
      </w:r>
      <w:r w:rsidR="006B4D22">
        <w:t>but</w:t>
      </w:r>
      <w:r w:rsidR="001F59F1">
        <w:t xml:space="preserve"> </w:t>
      </w:r>
      <w:r w:rsidR="006B4D22">
        <w:t xml:space="preserve">the </w:t>
      </w:r>
      <w:r w:rsidR="00353180">
        <w:t xml:space="preserve">mean AoA is drawn </w:t>
      </w:r>
      <w:r w:rsidR="006B4D22">
        <w:t xml:space="preserve">randomly </w:t>
      </w:r>
      <w:r w:rsidR="00353180">
        <w:t xml:space="preserve">from </w:t>
      </w:r>
      <w:r w:rsidR="005A79B3">
        <w:t xml:space="preserve">the range </w:t>
      </w:r>
      <m:oMath>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270</m:t>
            </m:r>
          </m:e>
          <m:sup>
            <m:r>
              <w:rPr>
                <w:rFonts w:ascii="Cambria Math" w:hAnsi="Cambria Math"/>
              </w:rPr>
              <m:t>°</m:t>
            </m:r>
          </m:sup>
        </m:sSup>
        <m:r>
          <w:rPr>
            <w:rFonts w:ascii="Cambria Math" w:hAnsi="Cambria Math"/>
          </w:rPr>
          <m:t>]</m:t>
        </m:r>
      </m:oMath>
      <w:r w:rsidR="00353180">
        <w:t>.</w:t>
      </w:r>
      <w:r w:rsidR="00DD73E5">
        <w:t xml:space="preserve"> </w:t>
      </w:r>
      <w:r w:rsidR="00121DA2">
        <w:t xml:space="preserve">Randomization only within a half plane is considered, since the two panels are symmetric about the axis of the UE, facing in opposite directions. </w:t>
      </w:r>
      <w:r w:rsidR="001F59F1">
        <w:t xml:space="preserve">Comparing the </w:t>
      </w:r>
      <w:r w:rsidR="00403F9E">
        <w:t>DS CDF</w:t>
      </w:r>
      <w:r w:rsidR="001F59F1">
        <w:t xml:space="preserve"> curves</w:t>
      </w:r>
      <w:r w:rsidR="00524FA8">
        <w:t xml:space="preserve"> for </w:t>
      </w:r>
      <w:r w:rsidR="00403F9E">
        <w:t>the</w:t>
      </w:r>
      <w:r w:rsidR="00D64AE8">
        <w:t>se</w:t>
      </w:r>
      <w:r w:rsidR="00403F9E">
        <w:t xml:space="preserve"> </w:t>
      </w:r>
      <w:r w:rsidR="00DF26E9">
        <w:t>two setu</w:t>
      </w:r>
      <w:r w:rsidR="00D64AE8">
        <w:t xml:space="preserve">ps </w:t>
      </w:r>
      <w:r w:rsidR="00E42589">
        <w:t xml:space="preserve">in </w:t>
      </w:r>
      <w:r w:rsidR="00762AA1">
        <w:fldChar w:fldCharType="begin"/>
      </w:r>
      <w:r w:rsidR="00762AA1">
        <w:instrText xml:space="preserve"> REF _Ref46327724 \h </w:instrText>
      </w:r>
      <w:r w:rsidR="00762AA1">
        <w:fldChar w:fldCharType="separate"/>
      </w:r>
      <w:r w:rsidR="00CF206F" w:rsidRPr="00E90690">
        <w:t>Figure</w:t>
      </w:r>
      <w:r w:rsidR="00CF206F" w:rsidRPr="00F94015">
        <w:t xml:space="preserve"> </w:t>
      </w:r>
      <w:r w:rsidR="00CF206F">
        <w:rPr>
          <w:noProof/>
        </w:rPr>
        <w:t>9</w:t>
      </w:r>
      <w:r w:rsidR="00762AA1">
        <w:fldChar w:fldCharType="end"/>
      </w:r>
      <w:r w:rsidR="001F59F1">
        <w:t>, one can see that</w:t>
      </w:r>
      <w:r w:rsidR="00872A33">
        <w:t xml:space="preserve"> without randomization of the angles (</w:t>
      </w:r>
      <w:r w:rsidR="006B4D22">
        <w:t>blue curves)</w:t>
      </w:r>
      <w:r w:rsidR="00872A33">
        <w:t xml:space="preserve">, the post-beamforming RMS delay spread is significantly less than with randomization (red curves). The danger in using static orientations is that in a real system where there are naturally random relative gNB-UE orientations, the delay spread will </w:t>
      </w:r>
      <w:r w:rsidR="009E54E3">
        <w:t>be underestimated</w:t>
      </w:r>
      <w:r w:rsidR="00872A33">
        <w:t xml:space="preserve"> leading to optimistic evaluation results.</w:t>
      </w:r>
    </w:p>
    <w:p w14:paraId="35746D77" w14:textId="17FC493E" w:rsidR="00762AA1" w:rsidRDefault="00762AA1" w:rsidP="00DA4FF0">
      <w:pPr>
        <w:pStyle w:val="BodyText"/>
      </w:pPr>
      <w:r>
        <w:fldChar w:fldCharType="begin"/>
      </w:r>
      <w:r>
        <w:instrText xml:space="preserve"> REF _Ref46327724 \h </w:instrText>
      </w:r>
      <w:r>
        <w:fldChar w:fldCharType="separate"/>
      </w:r>
      <w:r w:rsidR="00CF206F" w:rsidRPr="00E90690">
        <w:t>Figure</w:t>
      </w:r>
      <w:r w:rsidR="00CF206F" w:rsidRPr="00F94015">
        <w:t xml:space="preserve"> </w:t>
      </w:r>
      <w:r w:rsidR="00CF206F">
        <w:rPr>
          <w:noProof/>
        </w:rPr>
        <w:t>9</w:t>
      </w:r>
      <w:r>
        <w:fldChar w:fldCharType="end"/>
      </w:r>
      <w:r>
        <w:t xml:space="preserve"> also shows the DS CDF for the case of a single-panel UE with the </w:t>
      </w:r>
      <w:r w:rsidR="001D4E62">
        <w:t xml:space="preserve">mean </w:t>
      </w:r>
      <w:r>
        <w:t xml:space="preserve">AoA drawn randomly from the range </w:t>
      </w:r>
      <m:oMath>
        <m:r>
          <w:rPr>
            <w:rFonts w:ascii="Cambria Math" w:hAnsi="Cambria Math"/>
          </w:rPr>
          <m:t>[</m:t>
        </m:r>
        <m:sSup>
          <m:sSupPr>
            <m:ctrlPr>
              <w:rPr>
                <w:rFonts w:ascii="Cambria Math" w:hAnsi="Cambria Math"/>
                <w:i/>
              </w:rPr>
            </m:ctrlPr>
          </m:sSupPr>
          <m:e>
            <m:r>
              <w:rPr>
                <w:rFonts w:ascii="Cambria Math" w:hAnsi="Cambria Math"/>
              </w:rPr>
              <m:t>0</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m:t>
        </m:r>
      </m:oMath>
      <w:r w:rsidR="00121DA2">
        <w:t xml:space="preserve"> (black curves)</w:t>
      </w:r>
      <w:r w:rsidR="00067FF7">
        <w:t xml:space="preserve"> and a</w:t>
      </w:r>
      <w:r w:rsidR="00CA4A2D">
        <w:t xml:space="preserve"> random UE orientation</w:t>
      </w:r>
      <w:r w:rsidR="00490B05">
        <w:t xml:space="preserve"> drawn </w:t>
      </w:r>
      <w:r w:rsidR="00BC5B47">
        <w:t>from the same range and uncorrelated with mean AoA</w:t>
      </w:r>
      <w:r>
        <w:t xml:space="preserve"> This scenario is </w:t>
      </w:r>
      <w:r w:rsidR="00121DA2">
        <w:t>important</w:t>
      </w:r>
      <w:r>
        <w:t xml:space="preserve"> to consider given that (1) a simple UE architecture may have only a single UE panel, or (2) even for a UE equipped with two panels, one of the panels may be blocked, e.g., by a hand, the body, or some other object </w:t>
      </w:r>
      <w:r w:rsidR="00121DA2">
        <w:t xml:space="preserve">in close vicinity of the UE. As can be seen, the single panel case leads to significantly larger delay spreads than the dual panel UE. </w:t>
      </w:r>
    </w:p>
    <w:p w14:paraId="1A459E51" w14:textId="60338CD3" w:rsidR="00D00073" w:rsidRDefault="00D00073" w:rsidP="00F94015">
      <w:pPr>
        <w:pStyle w:val="Observation"/>
        <w:overflowPunct/>
        <w:autoSpaceDE/>
        <w:autoSpaceDN/>
        <w:adjustRightInd/>
        <w:spacing w:line="259" w:lineRule="auto"/>
        <w:ind w:left="1710" w:hanging="1710"/>
        <w:textAlignment w:val="auto"/>
      </w:pPr>
      <w:bookmarkStart w:id="68" w:name="_Toc47628662"/>
      <w:bookmarkStart w:id="69" w:name="_Toc47629471"/>
      <w:bookmarkStart w:id="70" w:name="_Toc47697540"/>
      <w:bookmarkStart w:id="71" w:name="_Toc47697957"/>
      <w:bookmarkStart w:id="72" w:name="_Toc47709974"/>
      <w:bookmarkStart w:id="73" w:name="_Toc47710000"/>
      <w:bookmarkStart w:id="74" w:name="_Toc47628663"/>
      <w:bookmarkStart w:id="75" w:name="_Toc47629472"/>
      <w:bookmarkStart w:id="76" w:name="_Toc47697541"/>
      <w:bookmarkStart w:id="77" w:name="_Toc47697958"/>
      <w:bookmarkStart w:id="78" w:name="_Toc47709975"/>
      <w:bookmarkStart w:id="79" w:name="_Toc47710001"/>
      <w:bookmarkStart w:id="80" w:name="_Toc47712019"/>
      <w:bookmarkEnd w:id="68"/>
      <w:bookmarkEnd w:id="69"/>
      <w:bookmarkEnd w:id="70"/>
      <w:bookmarkEnd w:id="71"/>
      <w:bookmarkEnd w:id="72"/>
      <w:bookmarkEnd w:id="73"/>
      <w:bookmarkEnd w:id="74"/>
      <w:bookmarkEnd w:id="75"/>
      <w:bookmarkEnd w:id="76"/>
      <w:bookmarkEnd w:id="77"/>
      <w:bookmarkEnd w:id="78"/>
      <w:bookmarkEnd w:id="79"/>
      <w:r>
        <w:t>Without proper randomization of the relative</w:t>
      </w:r>
      <w:r w:rsidDel="00872A33">
        <w:t xml:space="preserve"> </w:t>
      </w:r>
      <w:r>
        <w:t>UE-gNB array orientations, the delay spread statistics can be substantially under-estimated.</w:t>
      </w:r>
      <w:bookmarkEnd w:id="80"/>
    </w:p>
    <w:p w14:paraId="6AC9A265" w14:textId="7895C2F5" w:rsidR="00121DA2" w:rsidRPr="001B36D6" w:rsidRDefault="00121DA2" w:rsidP="00F94015">
      <w:pPr>
        <w:pStyle w:val="Observation"/>
        <w:overflowPunct/>
        <w:autoSpaceDE/>
        <w:autoSpaceDN/>
        <w:adjustRightInd/>
        <w:spacing w:line="259" w:lineRule="auto"/>
        <w:ind w:left="1710" w:hanging="1710"/>
        <w:textAlignment w:val="auto"/>
      </w:pPr>
      <w:bookmarkStart w:id="81" w:name="_Toc47712020"/>
      <w:r>
        <w:t>A single panel UE, or a dual panel UE with one panel fully/partially blocked, experiences larger delay spreads than a dual panel UE without any blocking.</w:t>
      </w:r>
      <w:bookmarkEnd w:id="81"/>
    </w:p>
    <w:p w14:paraId="499AD65B" w14:textId="77777777" w:rsidR="00D00073" w:rsidRDefault="00D00073" w:rsidP="00DA4FF0">
      <w:pPr>
        <w:pStyle w:val="BodyText"/>
      </w:pPr>
    </w:p>
    <w:p w14:paraId="587521A4" w14:textId="16136C74" w:rsidR="00176BFC" w:rsidRPr="00FB6421" w:rsidRDefault="005B7AA4" w:rsidP="00E12344">
      <w:pPr>
        <w:pStyle w:val="BodyText"/>
        <w:jc w:val="center"/>
      </w:pPr>
      <w:r>
        <w:rPr>
          <w:noProof/>
        </w:rPr>
        <w:drawing>
          <wp:inline distT="0" distB="0" distL="0" distR="0" wp14:anchorId="165B6497" wp14:editId="79440FA5">
            <wp:extent cx="6035040" cy="2734056"/>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262" t="2014" r="5503" b="3348"/>
                    <a:stretch/>
                  </pic:blipFill>
                  <pic:spPr bwMode="auto">
                    <a:xfrm>
                      <a:off x="0" y="0"/>
                      <a:ext cx="6035040" cy="2734056"/>
                    </a:xfrm>
                    <a:prstGeom prst="rect">
                      <a:avLst/>
                    </a:prstGeom>
                    <a:noFill/>
                    <a:ln>
                      <a:noFill/>
                    </a:ln>
                    <a:extLst>
                      <a:ext uri="{53640926-AAD7-44D8-BBD7-CCE9431645EC}">
                        <a14:shadowObscured xmlns:a14="http://schemas.microsoft.com/office/drawing/2010/main"/>
                      </a:ext>
                    </a:extLst>
                  </pic:spPr>
                </pic:pic>
              </a:graphicData>
            </a:graphic>
          </wp:inline>
        </w:drawing>
      </w:r>
      <w:bookmarkStart w:id="82" w:name="_Ref46322596"/>
      <w:r w:rsidR="00176BFC" w:rsidRPr="00F12222">
        <w:t xml:space="preserve">Figure </w:t>
      </w:r>
      <w:r w:rsidR="00176BFC">
        <w:fldChar w:fldCharType="begin"/>
      </w:r>
      <w:r w:rsidR="00176BFC" w:rsidRPr="00F12222">
        <w:instrText xml:space="preserve"> SEQ Figure \* ARABIC </w:instrText>
      </w:r>
      <w:r w:rsidR="00176BFC">
        <w:fldChar w:fldCharType="separate"/>
      </w:r>
      <w:r w:rsidR="00CF206F">
        <w:rPr>
          <w:noProof/>
        </w:rPr>
        <w:t>7</w:t>
      </w:r>
      <w:r w:rsidR="00176BFC">
        <w:fldChar w:fldCharType="end"/>
      </w:r>
      <w:bookmarkEnd w:id="82"/>
      <w:r w:rsidR="00176BFC" w:rsidRPr="00F12222">
        <w:t xml:space="preserve">: </w:t>
      </w:r>
      <w:r w:rsidR="00393516">
        <w:t xml:space="preserve">Default </w:t>
      </w:r>
      <w:r w:rsidR="00572089">
        <w:t>AoD and AoA</w:t>
      </w:r>
      <w:r w:rsidR="00393516">
        <w:t xml:space="preserve"> </w:t>
      </w:r>
      <w:r w:rsidR="00572089">
        <w:t xml:space="preserve">values for the clusters in the </w:t>
      </w:r>
      <w:r w:rsidR="00393516">
        <w:t>CDL-B channel model.</w:t>
      </w:r>
    </w:p>
    <w:p w14:paraId="24E68277" w14:textId="43F567D8" w:rsidR="00530122" w:rsidRPr="00FB6421" w:rsidRDefault="00BD17AA" w:rsidP="00F94015">
      <w:pPr>
        <w:pStyle w:val="TF"/>
        <w:keepLines w:val="0"/>
        <w:jc w:val="both"/>
      </w:pPr>
      <w:r>
        <w:rPr>
          <w:noProof/>
        </w:rPr>
        <w:lastRenderedPageBreak/>
        <w:drawing>
          <wp:anchor distT="0" distB="0" distL="114300" distR="114300" simplePos="0" relativeHeight="251658240" behindDoc="0" locked="0" layoutInCell="1" allowOverlap="1" wp14:anchorId="01B99D2B" wp14:editId="64AD521E">
            <wp:simplePos x="0" y="0"/>
            <wp:positionH relativeFrom="margin">
              <wp:align>center</wp:align>
            </wp:positionH>
            <wp:positionV relativeFrom="paragraph">
              <wp:posOffset>92</wp:posOffset>
            </wp:positionV>
            <wp:extent cx="5502910" cy="3018155"/>
            <wp:effectExtent l="0" t="0" r="2540" b="0"/>
            <wp:wrapSquare wrapText="bothSides"/>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_report_angle_delay_profiles.tif"/>
                    <pic:cNvPicPr/>
                  </pic:nvPicPr>
                  <pic:blipFill>
                    <a:blip r:embed="rId23">
                      <a:extLst>
                        <a:ext uri="{28A0092B-C50C-407E-A947-70E740481C1C}">
                          <a14:useLocalDpi xmlns:a14="http://schemas.microsoft.com/office/drawing/2010/main" val="0"/>
                        </a:ext>
                      </a:extLst>
                    </a:blip>
                    <a:stretch>
                      <a:fillRect/>
                    </a:stretch>
                  </pic:blipFill>
                  <pic:spPr>
                    <a:xfrm>
                      <a:off x="0" y="0"/>
                      <a:ext cx="5502910" cy="3018155"/>
                    </a:xfrm>
                    <a:prstGeom prst="rect">
                      <a:avLst/>
                    </a:prstGeom>
                  </pic:spPr>
                </pic:pic>
              </a:graphicData>
            </a:graphic>
            <wp14:sizeRelH relativeFrom="page">
              <wp14:pctWidth>0</wp14:pctWidth>
            </wp14:sizeRelH>
            <wp14:sizeRelV relativeFrom="page">
              <wp14:pctHeight>0</wp14:pctHeight>
            </wp14:sizeRelV>
          </wp:anchor>
        </w:drawing>
      </w:r>
      <w:bookmarkStart w:id="83" w:name="_Ref47618887"/>
      <w:r w:rsidR="00F35542">
        <w:t xml:space="preserve">Figure </w:t>
      </w:r>
      <w:r w:rsidR="00F35542">
        <w:fldChar w:fldCharType="begin"/>
      </w:r>
      <w:r w:rsidR="00F35542">
        <w:instrText xml:space="preserve"> SEQ Figure \* ARABIC </w:instrText>
      </w:r>
      <w:r w:rsidR="00F35542">
        <w:fldChar w:fldCharType="separate"/>
      </w:r>
      <w:r w:rsidR="00CF206F">
        <w:rPr>
          <w:noProof/>
        </w:rPr>
        <w:t>8</w:t>
      </w:r>
      <w:r w:rsidR="00F35542">
        <w:fldChar w:fldCharType="end"/>
      </w:r>
      <w:bookmarkEnd w:id="83"/>
      <w:r w:rsidR="0054296F">
        <w:t>:</w:t>
      </w:r>
      <w:r w:rsidR="004E3A13">
        <w:t xml:space="preserve"> </w:t>
      </w:r>
      <w:r w:rsidR="0054296F">
        <w:t>A</w:t>
      </w:r>
      <w:r w:rsidR="00A25FB4">
        <w:t xml:space="preserve">ngular/delay profiles </w:t>
      </w:r>
      <w:r w:rsidR="00E43786">
        <w:t>at BS (</w:t>
      </w:r>
      <w:r w:rsidR="00057002">
        <w:t>left</w:t>
      </w:r>
      <w:r w:rsidR="00E43786">
        <w:t>)</w:t>
      </w:r>
      <w:r w:rsidR="00057002">
        <w:t xml:space="preserve"> and UE (right)</w:t>
      </w:r>
      <w:r w:rsidR="00A35873">
        <w:t xml:space="preserve"> for the unscaled, </w:t>
      </w:r>
      <w:r w:rsidR="00F6590B">
        <w:t>untranslated CDL-B</w:t>
      </w:r>
      <w:r w:rsidR="00FB4D3C">
        <w:t xml:space="preserve">. Marker size proportional to </w:t>
      </w:r>
      <w:r w:rsidR="00E1136C">
        <w:t>path power.</w:t>
      </w:r>
      <w:r w:rsidR="00211D73">
        <w:t xml:space="preserve"> </w:t>
      </w:r>
      <w:r w:rsidR="006335B9">
        <w:rPr>
          <w:lang w:val="en-US"/>
        </w:rPr>
        <w:t>For exemplary purposes, the b</w:t>
      </w:r>
      <w:r w:rsidR="007A0751">
        <w:t xml:space="preserve">lue rectangular </w:t>
      </w:r>
      <w:r w:rsidR="00C620BC">
        <w:t xml:space="preserve">area </w:t>
      </w:r>
      <w:r w:rsidR="00A12910">
        <w:t>i</w:t>
      </w:r>
      <w:r w:rsidR="00291D14">
        <w:t xml:space="preserve">llustrates </w:t>
      </w:r>
      <w:r w:rsidR="00830E06">
        <w:t xml:space="preserve">the “field of vision” </w:t>
      </w:r>
      <w:r w:rsidR="00FA79FE">
        <w:t xml:space="preserve">of </w:t>
      </w:r>
      <w:r w:rsidR="00351615">
        <w:rPr>
          <w:lang w:val="en-US"/>
        </w:rPr>
        <w:t xml:space="preserve">one of the UE antenna </w:t>
      </w:r>
      <w:r w:rsidR="00FA79FE">
        <w:t>panel</w:t>
      </w:r>
      <w:r w:rsidR="00351615">
        <w:rPr>
          <w:lang w:val="en-US"/>
        </w:rPr>
        <w:t>s</w:t>
      </w:r>
      <w:r w:rsidR="00FA79FE">
        <w:t xml:space="preserve"> oriented towards 90 degrees</w:t>
      </w:r>
    </w:p>
    <w:p w14:paraId="548125D7" w14:textId="77990E10" w:rsidR="000C1618" w:rsidRPr="00F60B1E" w:rsidRDefault="005721D7" w:rsidP="00B9506E">
      <w:pPr>
        <w:pStyle w:val="BodyText"/>
        <w:jc w:val="center"/>
        <w:rPr>
          <w:rFonts w:cs="Arial"/>
        </w:rPr>
      </w:pPr>
      <w:r>
        <w:rPr>
          <w:rFonts w:ascii="Times New Roman" w:hAnsi="Times New Roman"/>
          <w:noProof/>
          <w:sz w:val="16"/>
          <w:szCs w:val="16"/>
          <w:lang w:eastAsia="ja-JP"/>
        </w:rPr>
        <w:drawing>
          <wp:inline distT="0" distB="0" distL="0" distR="0" wp14:anchorId="371117A4" wp14:editId="588AFCAF">
            <wp:extent cx="4763004" cy="3024130"/>
            <wp:effectExtent l="0" t="0" r="0" b="5080"/>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nal_report_UMi_CDL_B_single_dual_dual_v2.tif"/>
                    <pic:cNvPicPr/>
                  </pic:nvPicPr>
                  <pic:blipFill>
                    <a:blip r:embed="rId24">
                      <a:extLst>
                        <a:ext uri="{28A0092B-C50C-407E-A947-70E740481C1C}">
                          <a14:useLocalDpi xmlns:a14="http://schemas.microsoft.com/office/drawing/2010/main" val="0"/>
                        </a:ext>
                      </a:extLst>
                    </a:blip>
                    <a:stretch>
                      <a:fillRect/>
                    </a:stretch>
                  </pic:blipFill>
                  <pic:spPr>
                    <a:xfrm>
                      <a:off x="0" y="0"/>
                      <a:ext cx="4782300" cy="3036381"/>
                    </a:xfrm>
                    <a:prstGeom prst="rect">
                      <a:avLst/>
                    </a:prstGeom>
                  </pic:spPr>
                </pic:pic>
              </a:graphicData>
            </a:graphic>
          </wp:inline>
        </w:drawing>
      </w:r>
    </w:p>
    <w:p w14:paraId="167E73E2" w14:textId="64563D8A" w:rsidR="00DD12AF" w:rsidRPr="00F60B1E" w:rsidRDefault="00DD12AF" w:rsidP="001A1116">
      <w:pPr>
        <w:pStyle w:val="TF"/>
        <w:keepLines w:val="0"/>
        <w:jc w:val="both"/>
      </w:pPr>
      <w:bookmarkStart w:id="84" w:name="_Ref46327724"/>
      <w:r w:rsidRPr="00E90690">
        <w:rPr>
          <w:lang w:val="en-US"/>
        </w:rPr>
        <w:t>Figure</w:t>
      </w:r>
      <w:r w:rsidRPr="00F94015">
        <w:rPr>
          <w:lang w:val="en-US"/>
        </w:rPr>
        <w:t xml:space="preserve"> </w:t>
      </w:r>
      <w:r w:rsidRPr="00F94015">
        <w:rPr>
          <w:lang w:val="en-US"/>
        </w:rPr>
        <w:fldChar w:fldCharType="begin"/>
      </w:r>
      <w:r w:rsidRPr="00F94015">
        <w:rPr>
          <w:lang w:val="en-US"/>
        </w:rPr>
        <w:instrText xml:space="preserve"> SEQ Figure \* ARABIC </w:instrText>
      </w:r>
      <w:r w:rsidRPr="00F94015">
        <w:rPr>
          <w:lang w:val="en-US"/>
        </w:rPr>
        <w:fldChar w:fldCharType="separate"/>
      </w:r>
      <w:r w:rsidR="00CF206F">
        <w:rPr>
          <w:noProof/>
          <w:lang w:val="en-US"/>
        </w:rPr>
        <w:t>9</w:t>
      </w:r>
      <w:r w:rsidRPr="00F94015">
        <w:rPr>
          <w:lang w:val="en-US"/>
        </w:rPr>
        <w:fldChar w:fldCharType="end"/>
      </w:r>
      <w:bookmarkEnd w:id="84"/>
      <w:r w:rsidRPr="00F94015">
        <w:rPr>
          <w:lang w:val="en-US"/>
        </w:rPr>
        <w:t>:</w:t>
      </w:r>
      <w:r w:rsidRPr="00E90690">
        <w:rPr>
          <w:lang w:val="en-US"/>
        </w:rPr>
        <w:t xml:space="preserve"> </w:t>
      </w:r>
      <w:r w:rsidR="003761E1" w:rsidRPr="00E90690">
        <w:rPr>
          <w:lang w:val="en-US"/>
        </w:rPr>
        <w:t xml:space="preserve">Post beamforming </w:t>
      </w:r>
      <w:r w:rsidRPr="00754DE1">
        <w:rPr>
          <w:lang w:val="en-US"/>
        </w:rPr>
        <w:t>RMS delay spreads for UMi CDL-B channel</w:t>
      </w:r>
      <w:r w:rsidR="003761E1" w:rsidRPr="00754DE1">
        <w:rPr>
          <w:lang w:val="en-US"/>
        </w:rPr>
        <w:t xml:space="preserve"> for different array sizes at the UE (2x2 and 4x4). 4x8 array is used at the gNB.</w:t>
      </w:r>
      <w:r w:rsidR="007B400B" w:rsidRPr="00754DE1">
        <w:rPr>
          <w:lang w:val="en-US"/>
        </w:rPr>
        <w:t xml:space="preserve"> Both fixed</w:t>
      </w:r>
      <w:r w:rsidR="00493141">
        <w:rPr>
          <w:lang w:val="en-US"/>
        </w:rPr>
        <w:t xml:space="preserve"> AoA (</w:t>
      </w:r>
      <w:r w:rsidR="00493141" w:rsidRPr="00493141">
        <w:rPr>
          <w:color w:val="0000FF"/>
          <w:lang w:val="en-US"/>
        </w:rPr>
        <w:t>blue</w:t>
      </w:r>
      <w:r w:rsidR="00493141">
        <w:rPr>
          <w:lang w:val="en-US"/>
        </w:rPr>
        <w:t xml:space="preserve"> curves)</w:t>
      </w:r>
      <w:r w:rsidR="007B400B" w:rsidRPr="00754DE1">
        <w:rPr>
          <w:lang w:val="en-US"/>
        </w:rPr>
        <w:t xml:space="preserve"> and randomized AoA </w:t>
      </w:r>
      <w:r w:rsidR="00493141">
        <w:rPr>
          <w:lang w:val="en-US"/>
        </w:rPr>
        <w:t>(</w:t>
      </w:r>
      <w:r w:rsidR="00493141" w:rsidRPr="00493141">
        <w:rPr>
          <w:color w:val="FF0000"/>
          <w:lang w:val="en-US"/>
        </w:rPr>
        <w:t xml:space="preserve">red </w:t>
      </w:r>
      <w:r w:rsidR="00493141">
        <w:rPr>
          <w:lang w:val="en-US"/>
        </w:rPr>
        <w:t xml:space="preserve">curves) </w:t>
      </w:r>
      <w:r w:rsidR="007B400B" w:rsidRPr="00754DE1">
        <w:rPr>
          <w:lang w:val="en-US"/>
        </w:rPr>
        <w:t>are considered emulating random UE orientation w.r.t. to the gNB.</w:t>
      </w:r>
      <w:r w:rsidR="00121DA2">
        <w:rPr>
          <w:lang w:val="en-US"/>
        </w:rPr>
        <w:t xml:space="preserve"> The black curves correspond to a single panel UE with randomized AoA.</w:t>
      </w:r>
    </w:p>
    <w:p w14:paraId="04EB4F9E" w14:textId="525A15D2" w:rsidR="00380885" w:rsidRDefault="00380885">
      <w:pPr>
        <w:pStyle w:val="BodyText"/>
      </w:pPr>
    </w:p>
    <w:p w14:paraId="7A5757DD" w14:textId="731759C3" w:rsidR="0019577B" w:rsidRPr="00F94015" w:rsidRDefault="005F237D" w:rsidP="00F94015">
      <w:pPr>
        <w:pStyle w:val="Heading4"/>
      </w:pPr>
      <w:r>
        <w:t>3.1.2</w:t>
      </w:r>
      <w:r w:rsidR="00912029">
        <w:t>.2</w:t>
      </w:r>
      <w:r w:rsidR="00912029">
        <w:tab/>
      </w:r>
      <w:r w:rsidR="00463B4F" w:rsidRPr="00F94015">
        <w:t xml:space="preserve">Link </w:t>
      </w:r>
      <w:r w:rsidR="0019577B" w:rsidRPr="00F94015">
        <w:t>level evaluation results for CDL-B channel model</w:t>
      </w:r>
    </w:p>
    <w:p w14:paraId="6979188D" w14:textId="54A10507" w:rsidR="00F02CEF" w:rsidRDefault="00F02CEF" w:rsidP="00463B4F">
      <w:pPr>
        <w:pStyle w:val="BodyText"/>
      </w:pPr>
      <w:r w:rsidRPr="00F94015">
        <w:t>The</w:t>
      </w:r>
      <w:r>
        <w:t xml:space="preserve"> link </w:t>
      </w:r>
      <w:r w:rsidRPr="00F94015">
        <w:t xml:space="preserve">results </w:t>
      </w:r>
      <w:r w:rsidR="00EA3D13">
        <w:t xml:space="preserve">presented here </w:t>
      </w:r>
      <w:r w:rsidRPr="00F94015">
        <w:t xml:space="preserve">correspond to the "modified CDL-B model" described in the link level evaluation assumptions (see </w:t>
      </w:r>
      <w:r w:rsidRPr="00F94015">
        <w:fldChar w:fldCharType="begin"/>
      </w:r>
      <w:r w:rsidRPr="00F94015">
        <w:instrText xml:space="preserve"> REF _Ref46321089 \r \h </w:instrText>
      </w:r>
      <w:r w:rsidR="00B936C4">
        <w:instrText xml:space="preserve"> \* MERGEFORMAT </w:instrText>
      </w:r>
      <w:r w:rsidRPr="00F94015">
        <w:fldChar w:fldCharType="separate"/>
      </w:r>
      <w:r w:rsidR="00CF206F">
        <w:t>[7]</w:t>
      </w:r>
      <w:r w:rsidRPr="00F94015">
        <w:fldChar w:fldCharType="end"/>
      </w:r>
      <w:r w:rsidRPr="00F94015">
        <w:t>)</w:t>
      </w:r>
      <w:r w:rsidR="00EA3D13">
        <w:t xml:space="preserve"> with scaling/translation of the angles corresponding to both UMi and Indoor Office. </w:t>
      </w:r>
      <w:r w:rsidRPr="00F94015">
        <w:t xml:space="preserve">On top of this, the mean angles of arrival are randomized as described in the previous section which produces the delay spread CDF (red curves) shown in </w:t>
      </w:r>
      <w:r w:rsidR="00EA3D13">
        <w:fldChar w:fldCharType="begin"/>
      </w:r>
      <w:r w:rsidR="00EA3D13">
        <w:instrText xml:space="preserve"> REF _Ref46327724 \h </w:instrText>
      </w:r>
      <w:r w:rsidR="00EA3D13">
        <w:fldChar w:fldCharType="separate"/>
      </w:r>
      <w:r w:rsidR="00CF206F" w:rsidRPr="00E90690">
        <w:t>Figure</w:t>
      </w:r>
      <w:r w:rsidR="00CF206F" w:rsidRPr="00F94015">
        <w:t xml:space="preserve"> </w:t>
      </w:r>
      <w:r w:rsidR="00CF206F">
        <w:rPr>
          <w:noProof/>
        </w:rPr>
        <w:t>9</w:t>
      </w:r>
      <w:r w:rsidR="00EA3D13">
        <w:fldChar w:fldCharType="end"/>
      </w:r>
      <w:r w:rsidRPr="00F94015">
        <w:t>.</w:t>
      </w:r>
      <w:r w:rsidR="006C0AE6">
        <w:t xml:space="preserve"> As noted above, </w:t>
      </w:r>
      <w:r w:rsidR="006C0AE6" w:rsidRPr="0074165E">
        <w:t>the system with smaller carrier bandwidth</w:t>
      </w:r>
      <w:r w:rsidR="00EA3D13">
        <w:t>s</w:t>
      </w:r>
      <w:r w:rsidR="006C0AE6" w:rsidRPr="0074165E">
        <w:t xml:space="preserve"> </w:t>
      </w:r>
      <w:r w:rsidR="00846C81">
        <w:t>suffer from less ICI</w:t>
      </w:r>
      <w:r w:rsidR="006C0AE6" w:rsidRPr="0074165E">
        <w:t xml:space="preserve"> than the larger one</w:t>
      </w:r>
      <w:r w:rsidR="00EA3D13">
        <w:t>s</w:t>
      </w:r>
      <w:r w:rsidR="006C0AE6" w:rsidRPr="0074165E">
        <w:t xml:space="preserve"> due to lower phase noise power aggregated </w:t>
      </w:r>
      <w:r w:rsidR="00EA3D13">
        <w:t>over</w:t>
      </w:r>
      <w:r w:rsidR="006C0AE6" w:rsidRPr="0074165E">
        <w:t xml:space="preserve"> all RBs.</w:t>
      </w:r>
      <w:r w:rsidR="007748E2">
        <w:t xml:space="preserve"> Therefore, </w:t>
      </w:r>
      <w:r w:rsidR="00B046C0">
        <w:t xml:space="preserve">we can expect that </w:t>
      </w:r>
      <w:r w:rsidR="007748E2">
        <w:t xml:space="preserve">the </w:t>
      </w:r>
      <w:r w:rsidR="00DC66F7">
        <w:t>BLER</w:t>
      </w:r>
      <w:r w:rsidR="007748E2">
        <w:t xml:space="preserve"> </w:t>
      </w:r>
      <w:bookmarkStart w:id="85" w:name="_Hlk47519755"/>
      <w:r w:rsidR="00663915">
        <w:t>corres</w:t>
      </w:r>
      <w:r w:rsidR="00352101">
        <w:t xml:space="preserve">ponding to </w:t>
      </w:r>
      <w:r w:rsidR="00352101" w:rsidRPr="00352101">
        <w:t xml:space="preserve">960 kHz SCS with </w:t>
      </w:r>
      <w:r w:rsidR="00352101">
        <w:t>160</w:t>
      </w:r>
      <w:r w:rsidR="00352101" w:rsidRPr="00352101">
        <w:t xml:space="preserve"> PRBs</w:t>
      </w:r>
      <w:r w:rsidR="00352101" w:rsidRPr="00352101" w:rsidDel="00663915">
        <w:t xml:space="preserve"> </w:t>
      </w:r>
      <w:bookmarkEnd w:id="85"/>
      <w:r w:rsidR="00EA3D13">
        <w:t xml:space="preserve">(2000 MHz channel BW) </w:t>
      </w:r>
      <w:r w:rsidR="005C74BF">
        <w:t xml:space="preserve">is </w:t>
      </w:r>
      <w:r w:rsidR="00EA3D13">
        <w:t xml:space="preserve">a </w:t>
      </w:r>
      <w:r w:rsidR="00D36EB9">
        <w:lastRenderedPageBreak/>
        <w:t>b</w:t>
      </w:r>
      <w:r w:rsidR="00D26280">
        <w:t xml:space="preserve">ound </w:t>
      </w:r>
      <w:r w:rsidR="00EA3D13">
        <w:t xml:space="preserve">on the performance when considering </w:t>
      </w:r>
      <w:r w:rsidR="00FC4683">
        <w:t xml:space="preserve">channel bandwidths of </w:t>
      </w:r>
      <w:r w:rsidR="00EA3D13">
        <w:t>both 400 MHz (32 PRBs) and 2000 MHz channel BW</w:t>
      </w:r>
      <w:r w:rsidR="001D147A">
        <w:t>.</w:t>
      </w:r>
      <w:r w:rsidR="00FC4683">
        <w:t xml:space="preserve"> Hence, in the following we focus only on the 2000 MHz case for 960 kHz.</w:t>
      </w:r>
    </w:p>
    <w:p w14:paraId="0AED6E02" w14:textId="26D3ED78" w:rsidR="00EA3D13" w:rsidRDefault="00EA3D13" w:rsidP="00EA3D13">
      <w:pPr>
        <w:pStyle w:val="BodyText"/>
      </w:pPr>
      <w:r>
        <w:fldChar w:fldCharType="begin"/>
      </w:r>
      <w:r>
        <w:instrText xml:space="preserve"> REF _Ref47453506 \h </w:instrText>
      </w:r>
      <w:r>
        <w:fldChar w:fldCharType="separate"/>
      </w:r>
      <w:r w:rsidR="00CF206F" w:rsidRPr="00916816">
        <w:rPr>
          <w:rFonts w:cs="Arial"/>
        </w:rPr>
        <w:t xml:space="preserve">Figure </w:t>
      </w:r>
      <w:r w:rsidR="00CF206F">
        <w:rPr>
          <w:rFonts w:cs="Arial"/>
          <w:noProof/>
        </w:rPr>
        <w:t>10</w:t>
      </w:r>
      <w:r>
        <w:fldChar w:fldCharType="end"/>
      </w:r>
      <w:r>
        <w:t xml:space="preserve"> – </w:t>
      </w:r>
      <w:r>
        <w:fldChar w:fldCharType="begin"/>
      </w:r>
      <w:r>
        <w:instrText xml:space="preserve"> REF _Ref47620501 \h </w:instrText>
      </w:r>
      <w:r>
        <w:fldChar w:fldCharType="separate"/>
      </w:r>
      <w:r w:rsidR="00CF206F" w:rsidRPr="00916816">
        <w:rPr>
          <w:rFonts w:cs="Arial"/>
        </w:rPr>
        <w:t xml:space="preserve">Figure </w:t>
      </w:r>
      <w:r w:rsidR="00CF206F">
        <w:rPr>
          <w:rFonts w:cs="Arial"/>
          <w:noProof/>
        </w:rPr>
        <w:t>13</w:t>
      </w:r>
      <w:r>
        <w:fldChar w:fldCharType="end"/>
      </w:r>
      <w:r>
        <w:t xml:space="preserve"> consider 4 scenarios where for each one</w:t>
      </w:r>
      <w:r w:rsidR="00FC4683">
        <w:t xml:space="preserve"> </w:t>
      </w:r>
      <w:r>
        <w:t xml:space="preserve">simple ICI compensation using a 3-tap de-ICI filter (i.e., </w:t>
      </w:r>
      <w:r w:rsidR="00D53931">
        <w:t>u = 1)</w:t>
      </w:r>
      <w:r w:rsidR="00FC4683">
        <w:t xml:space="preserve"> is used.</w:t>
      </w:r>
    </w:p>
    <w:p w14:paraId="2981BFDE" w14:textId="6BBE59E3" w:rsidR="00EA3D13" w:rsidRDefault="002228BE" w:rsidP="00F94015">
      <w:pPr>
        <w:pStyle w:val="BodyText"/>
        <w:numPr>
          <w:ilvl w:val="0"/>
          <w:numId w:val="54"/>
        </w:numPr>
        <w:spacing w:after="0"/>
      </w:pPr>
      <w:r>
        <w:t xml:space="preserve">UMi CDL-B, </w:t>
      </w:r>
      <w:r w:rsidR="00EA3D13">
        <w:t xml:space="preserve">4x8 gNB, 2x2 UE </w:t>
      </w:r>
    </w:p>
    <w:p w14:paraId="10EC9D35" w14:textId="7D38600E" w:rsidR="00EA3D13" w:rsidRDefault="00EA3D13" w:rsidP="00F94015">
      <w:pPr>
        <w:pStyle w:val="BodyText"/>
        <w:numPr>
          <w:ilvl w:val="0"/>
          <w:numId w:val="54"/>
        </w:numPr>
        <w:spacing w:after="0"/>
      </w:pPr>
      <w:r>
        <w:t>Indoor Office CDL-B, 4x8 gNB, 2x2 UE</w:t>
      </w:r>
    </w:p>
    <w:p w14:paraId="6057B179" w14:textId="13D1F568" w:rsidR="00EA3D13" w:rsidRDefault="00EA3D13" w:rsidP="00F94015">
      <w:pPr>
        <w:pStyle w:val="BodyText"/>
        <w:numPr>
          <w:ilvl w:val="0"/>
          <w:numId w:val="54"/>
        </w:numPr>
        <w:spacing w:after="0"/>
      </w:pPr>
      <w:r>
        <w:t>UMi CDL-B, 8x16 gNB, 4x4 UE</w:t>
      </w:r>
    </w:p>
    <w:p w14:paraId="56BDE529" w14:textId="07549077" w:rsidR="00EA3D13" w:rsidRDefault="00EA3D13" w:rsidP="00F94015">
      <w:pPr>
        <w:pStyle w:val="BodyText"/>
        <w:numPr>
          <w:ilvl w:val="0"/>
          <w:numId w:val="54"/>
        </w:numPr>
      </w:pPr>
      <w:r>
        <w:t xml:space="preserve">Indoor Office CDL-B, 8x16 gNB, 4x4 UE </w:t>
      </w:r>
    </w:p>
    <w:p w14:paraId="5FC517F8" w14:textId="58D7FAE0" w:rsidR="00545561" w:rsidRDefault="00FC4683" w:rsidP="00463B4F">
      <w:pPr>
        <w:pStyle w:val="BodyText"/>
        <w:rPr>
          <w:b/>
          <w:bCs/>
          <w:u w:val="single"/>
        </w:rPr>
      </w:pPr>
      <w:r>
        <w:t xml:space="preserve">In all cases, </w:t>
      </w:r>
      <w:r w:rsidR="002228BE">
        <w:t xml:space="preserve">with simple ICI compensation, the </w:t>
      </w:r>
      <w:r w:rsidR="00EA3D13">
        <w:t xml:space="preserve">link performance </w:t>
      </w:r>
      <w:r>
        <w:t>for</w:t>
      </w:r>
      <w:r w:rsidR="00EA3D13">
        <w:t xml:space="preserve"> </w:t>
      </w:r>
      <w:r w:rsidR="002228BE">
        <w:t>480 kHz</w:t>
      </w:r>
      <w:r>
        <w:t xml:space="preserve"> SCS is on </w:t>
      </w:r>
      <w:r w:rsidR="00EA3D13">
        <w:t xml:space="preserve">par with that of </w:t>
      </w:r>
      <w:r>
        <w:t xml:space="preserve">960 kHz, </w:t>
      </w:r>
      <w:r w:rsidR="00EA3D13">
        <w:t xml:space="preserve">particularly in the range of typical link adaptation target of 10% BLER. </w:t>
      </w:r>
      <w:r w:rsidR="00EA3D13">
        <w:rPr>
          <w:szCs w:val="22"/>
        </w:rPr>
        <w:t>Therefore</w:t>
      </w:r>
      <w:r w:rsidR="00EA3D13">
        <w:t>, there is no need to drastically increase SCS, e.g., to 960 kHz, to combat phase noise.</w:t>
      </w:r>
    </w:p>
    <w:p w14:paraId="31B023B6" w14:textId="656B8BE3" w:rsidR="004A0442" w:rsidRPr="00916816" w:rsidRDefault="00A7631D" w:rsidP="00C83449">
      <w:pPr>
        <w:pStyle w:val="BodyText"/>
        <w:keepNext/>
        <w:jc w:val="center"/>
        <w:rPr>
          <w:rFonts w:cs="Arial"/>
        </w:rPr>
      </w:pPr>
      <w:r>
        <w:rPr>
          <w:noProof/>
        </w:rPr>
        <w:drawing>
          <wp:inline distT="0" distB="0" distL="0" distR="0" wp14:anchorId="6BC001E3" wp14:editId="40156005">
            <wp:extent cx="3017520" cy="2260625"/>
            <wp:effectExtent l="0" t="0" r="0" b="6350"/>
            <wp:docPr id="90735392" name="Picture 9073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p>
    <w:p w14:paraId="268F08BB" w14:textId="434A49CE" w:rsidR="00B55372" w:rsidRPr="00916816" w:rsidRDefault="004A0442" w:rsidP="00E12344">
      <w:pPr>
        <w:pStyle w:val="Caption"/>
        <w:jc w:val="both"/>
        <w:rPr>
          <w:rFonts w:cs="Arial"/>
        </w:rPr>
      </w:pPr>
      <w:bookmarkStart w:id="86" w:name="_Ref47453506"/>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10</w:t>
      </w:r>
      <w:r w:rsidRPr="00916816">
        <w:rPr>
          <w:rFonts w:ascii="Arial" w:hAnsi="Arial" w:cs="Arial"/>
        </w:rPr>
        <w:fldChar w:fldCharType="end"/>
      </w:r>
      <w:bookmarkEnd w:id="86"/>
      <w:r w:rsidRPr="00916816">
        <w:rPr>
          <w:rFonts w:ascii="Arial" w:hAnsi="Arial" w:cs="Arial"/>
        </w:rPr>
        <w:t xml:space="preserve">:BLER for </w:t>
      </w:r>
      <w:r w:rsidR="002F3D34" w:rsidRPr="00916816">
        <w:rPr>
          <w:rFonts w:ascii="Arial" w:hAnsi="Arial" w:cs="Arial"/>
        </w:rPr>
        <w:t>UMi</w:t>
      </w:r>
      <w:r w:rsidR="00560CE3" w:rsidRPr="00916816">
        <w:rPr>
          <w:rFonts w:ascii="Arial" w:hAnsi="Arial" w:cs="Arial"/>
        </w:rPr>
        <w:t>, CDL-B</w:t>
      </w:r>
      <w:r w:rsidRPr="00916816">
        <w:rPr>
          <w:rFonts w:ascii="Arial" w:hAnsi="Arial" w:cs="Arial"/>
        </w:rPr>
        <w:t xml:space="preserve"> with 4x8 gNB and 2x2 UE arrays per polarization (performance results for </w:t>
      </w:r>
      <w:r w:rsidR="001F02CF" w:rsidRPr="00916816">
        <w:rPr>
          <w:rFonts w:ascii="Arial" w:hAnsi="Arial" w:cs="Arial"/>
        </w:rPr>
        <w:t>MCS7</w:t>
      </w:r>
      <w:r w:rsidRPr="00916816">
        <w:rPr>
          <w:rFonts w:ascii="Arial" w:hAnsi="Arial" w:cs="Arial"/>
        </w:rPr>
        <w:t xml:space="preserve">, </w:t>
      </w:r>
      <w:r w:rsidR="001F02CF" w:rsidRPr="00916816">
        <w:rPr>
          <w:rFonts w:ascii="Arial" w:hAnsi="Arial" w:cs="Arial"/>
        </w:rPr>
        <w:t>MCS 16</w:t>
      </w:r>
      <w:r w:rsidRPr="00916816">
        <w:rPr>
          <w:rFonts w:ascii="Arial" w:hAnsi="Arial" w:cs="Arial"/>
        </w:rPr>
        <w:t xml:space="preserve"> and </w:t>
      </w:r>
      <w:r w:rsidR="001F02CF" w:rsidRPr="00916816">
        <w:rPr>
          <w:rFonts w:ascii="Arial" w:hAnsi="Arial" w:cs="Arial"/>
        </w:rPr>
        <w:t>MCS 22</w:t>
      </w:r>
      <w:r w:rsidRPr="00916816">
        <w:rPr>
          <w:rFonts w:ascii="Arial" w:hAnsi="Arial" w:cs="Arial"/>
        </w:rPr>
        <w:t xml:space="preserve"> are plotted with </w:t>
      </w:r>
      <w:r w:rsidR="001F02CF" w:rsidRPr="00916816">
        <w:rPr>
          <w:rFonts w:ascii="Arial" w:hAnsi="Arial" w:cs="Arial"/>
        </w:rPr>
        <w:t>red</w:t>
      </w:r>
      <w:r w:rsidRPr="00916816">
        <w:rPr>
          <w:rFonts w:ascii="Arial" w:hAnsi="Arial" w:cs="Arial"/>
        </w:rPr>
        <w:t>, black</w:t>
      </w:r>
      <w:r w:rsidR="001F02CF" w:rsidRPr="00916816">
        <w:rPr>
          <w:rFonts w:ascii="Arial" w:hAnsi="Arial" w:cs="Arial"/>
        </w:rPr>
        <w:t>,</w:t>
      </w:r>
      <w:r w:rsidRPr="00916816">
        <w:rPr>
          <w:rFonts w:ascii="Arial" w:hAnsi="Arial" w:cs="Arial"/>
        </w:rPr>
        <w:t xml:space="preserve"> and </w:t>
      </w:r>
      <w:r w:rsidR="001F02CF" w:rsidRPr="00916816">
        <w:rPr>
          <w:rFonts w:ascii="Arial" w:hAnsi="Arial" w:cs="Arial"/>
        </w:rPr>
        <w:t>blue</w:t>
      </w:r>
      <w:r w:rsidRPr="00916816">
        <w:rPr>
          <w:rFonts w:ascii="Arial" w:hAnsi="Arial" w:cs="Arial"/>
        </w:rPr>
        <w:t xml:space="preserve"> curves, respectively).</w:t>
      </w:r>
    </w:p>
    <w:p w14:paraId="51EC92ED" w14:textId="682EEE2E" w:rsidR="008C69F7" w:rsidRPr="00916816" w:rsidRDefault="008C69F7" w:rsidP="00463B4F">
      <w:pPr>
        <w:pStyle w:val="BodyText"/>
        <w:rPr>
          <w:rFonts w:cs="Arial"/>
          <w:b/>
          <w:bCs/>
          <w:u w:val="single"/>
        </w:rPr>
      </w:pPr>
    </w:p>
    <w:p w14:paraId="53EE9DB5" w14:textId="29EFAC99" w:rsidR="00560CE3" w:rsidRPr="00916816" w:rsidRDefault="009A622E" w:rsidP="00F94015">
      <w:pPr>
        <w:pStyle w:val="BodyText"/>
        <w:keepNext/>
        <w:jc w:val="center"/>
        <w:rPr>
          <w:rFonts w:cs="Arial"/>
        </w:rPr>
      </w:pPr>
      <w:r>
        <w:rPr>
          <w:noProof/>
        </w:rPr>
        <w:drawing>
          <wp:inline distT="0" distB="0" distL="0" distR="0" wp14:anchorId="34FD007F" wp14:editId="6908CA99">
            <wp:extent cx="3017520" cy="2260625"/>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p>
    <w:p w14:paraId="0424FBA1" w14:textId="3E82EE50" w:rsidR="00560CE3" w:rsidRPr="00916816" w:rsidRDefault="00560CE3" w:rsidP="00E12344">
      <w:pPr>
        <w:pStyle w:val="Caption"/>
        <w:jc w:val="both"/>
        <w:rPr>
          <w:rFonts w:ascii="Arial" w:hAnsi="Arial" w:cs="Arial"/>
        </w:rPr>
      </w:pPr>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11</w:t>
      </w:r>
      <w:r w:rsidRPr="00916816">
        <w:rPr>
          <w:rFonts w:ascii="Arial" w:hAnsi="Arial" w:cs="Arial"/>
        </w:rPr>
        <w:fldChar w:fldCharType="end"/>
      </w:r>
      <w:r w:rsidRPr="00916816">
        <w:rPr>
          <w:rFonts w:ascii="Arial" w:hAnsi="Arial" w:cs="Arial"/>
        </w:rPr>
        <w:t xml:space="preserve">: BLER for </w:t>
      </w:r>
      <w:r w:rsidR="00FC77F8" w:rsidRPr="00916816">
        <w:rPr>
          <w:rFonts w:ascii="Arial" w:hAnsi="Arial" w:cs="Arial"/>
        </w:rPr>
        <w:t>i</w:t>
      </w:r>
      <w:r w:rsidRPr="00916816">
        <w:rPr>
          <w:rFonts w:ascii="Arial" w:hAnsi="Arial" w:cs="Arial"/>
        </w:rPr>
        <w:t>ndoor office, CDL-B with 4x8 gNB and 2x2 UE arrays per polarization (performance results for MCS7, MCS 16 and MCS 22 are plotted with red, black, and blue curves, respectively).</w:t>
      </w:r>
    </w:p>
    <w:p w14:paraId="54CC8BF2" w14:textId="58887B15" w:rsidR="0019577B" w:rsidRPr="00916816" w:rsidRDefault="0019577B" w:rsidP="00463B4F">
      <w:pPr>
        <w:pStyle w:val="BodyText"/>
        <w:rPr>
          <w:rFonts w:cs="Arial"/>
          <w:b/>
          <w:bCs/>
          <w:u w:val="single"/>
        </w:rPr>
      </w:pPr>
    </w:p>
    <w:p w14:paraId="7E570FB6" w14:textId="07E369AE" w:rsidR="0005431E" w:rsidRPr="00916816" w:rsidRDefault="00B94A22" w:rsidP="00F94015">
      <w:pPr>
        <w:pStyle w:val="BodyText"/>
        <w:keepNext/>
        <w:jc w:val="center"/>
        <w:rPr>
          <w:rFonts w:cs="Arial"/>
        </w:rPr>
      </w:pPr>
      <w:r>
        <w:rPr>
          <w:noProof/>
        </w:rPr>
        <w:lastRenderedPageBreak/>
        <w:drawing>
          <wp:inline distT="0" distB="0" distL="0" distR="0" wp14:anchorId="3F7BDF4E" wp14:editId="0E328E27">
            <wp:extent cx="3017520" cy="224413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244130"/>
                    </a:xfrm>
                    <a:prstGeom prst="rect">
                      <a:avLst/>
                    </a:prstGeom>
                    <a:noFill/>
                    <a:ln>
                      <a:noFill/>
                    </a:ln>
                  </pic:spPr>
                </pic:pic>
              </a:graphicData>
            </a:graphic>
          </wp:inline>
        </w:drawing>
      </w:r>
    </w:p>
    <w:p w14:paraId="6D02B5CC" w14:textId="34B0F4F6" w:rsidR="0005431E" w:rsidRPr="00916816" w:rsidRDefault="0005431E" w:rsidP="00E12344">
      <w:pPr>
        <w:pStyle w:val="Caption"/>
        <w:jc w:val="both"/>
        <w:rPr>
          <w:rFonts w:ascii="Arial" w:hAnsi="Arial" w:cs="Arial"/>
        </w:rPr>
      </w:pPr>
      <w:bookmarkStart w:id="87" w:name="_Ref47453515"/>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12</w:t>
      </w:r>
      <w:r w:rsidRPr="00916816">
        <w:rPr>
          <w:rFonts w:ascii="Arial" w:hAnsi="Arial" w:cs="Arial"/>
        </w:rPr>
        <w:fldChar w:fldCharType="end"/>
      </w:r>
      <w:bookmarkEnd w:id="87"/>
      <w:r w:rsidRPr="00916816">
        <w:rPr>
          <w:rFonts w:ascii="Arial" w:hAnsi="Arial" w:cs="Arial"/>
        </w:rPr>
        <w:t xml:space="preserve">: BLER for UMi, CDL-B with </w:t>
      </w:r>
      <w:r w:rsidR="009A2C67" w:rsidRPr="00916816">
        <w:rPr>
          <w:rFonts w:ascii="Arial" w:hAnsi="Arial" w:cs="Arial"/>
        </w:rPr>
        <w:t>8</w:t>
      </w:r>
      <w:r w:rsidRPr="00916816">
        <w:rPr>
          <w:rFonts w:ascii="Arial" w:hAnsi="Arial" w:cs="Arial"/>
        </w:rPr>
        <w:t>x</w:t>
      </w:r>
      <w:r w:rsidR="009A2C67" w:rsidRPr="00916816">
        <w:rPr>
          <w:rFonts w:ascii="Arial" w:hAnsi="Arial" w:cs="Arial"/>
        </w:rPr>
        <w:t>16</w:t>
      </w:r>
      <w:r w:rsidRPr="00916816">
        <w:rPr>
          <w:rFonts w:ascii="Arial" w:hAnsi="Arial" w:cs="Arial"/>
        </w:rPr>
        <w:t xml:space="preserve"> gNB and </w:t>
      </w:r>
      <w:r w:rsidR="009A2C67" w:rsidRPr="00916816">
        <w:rPr>
          <w:rFonts w:ascii="Arial" w:hAnsi="Arial" w:cs="Arial"/>
        </w:rPr>
        <w:t>4</w:t>
      </w:r>
      <w:r w:rsidRPr="00916816">
        <w:rPr>
          <w:rFonts w:ascii="Arial" w:hAnsi="Arial" w:cs="Arial"/>
        </w:rPr>
        <w:t>x</w:t>
      </w:r>
      <w:r w:rsidR="009A2C67" w:rsidRPr="00916816">
        <w:rPr>
          <w:rFonts w:ascii="Arial" w:hAnsi="Arial" w:cs="Arial"/>
        </w:rPr>
        <w:t>4</w:t>
      </w:r>
      <w:r w:rsidRPr="00916816">
        <w:rPr>
          <w:rFonts w:ascii="Arial" w:hAnsi="Arial" w:cs="Arial"/>
        </w:rPr>
        <w:t xml:space="preserve"> UE arrays per polarization (performance results for MCS7, MCS 16 and MCS 22 are plotted with red, black, and blue curves, respectively).</w:t>
      </w:r>
    </w:p>
    <w:p w14:paraId="42C9E07A" w14:textId="76F52FF8" w:rsidR="006A2CFE" w:rsidRPr="00916816" w:rsidRDefault="001E6D2A" w:rsidP="00F94015">
      <w:pPr>
        <w:pStyle w:val="BodyText"/>
        <w:keepNext/>
        <w:jc w:val="center"/>
        <w:rPr>
          <w:rFonts w:cs="Arial"/>
        </w:rPr>
      </w:pPr>
      <w:r>
        <w:rPr>
          <w:noProof/>
        </w:rPr>
        <w:drawing>
          <wp:inline distT="0" distB="0" distL="0" distR="0" wp14:anchorId="33D6DAEF" wp14:editId="5499CC67">
            <wp:extent cx="3017520" cy="2260625"/>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p>
    <w:p w14:paraId="1899371A" w14:textId="17924EFF" w:rsidR="00B21002" w:rsidRDefault="006A2CFE" w:rsidP="00F94015">
      <w:pPr>
        <w:pStyle w:val="Caption"/>
        <w:jc w:val="both"/>
      </w:pPr>
      <w:bookmarkStart w:id="88" w:name="_Ref47620501"/>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13</w:t>
      </w:r>
      <w:r w:rsidRPr="00916816">
        <w:rPr>
          <w:rFonts w:ascii="Arial" w:hAnsi="Arial" w:cs="Arial"/>
        </w:rPr>
        <w:fldChar w:fldCharType="end"/>
      </w:r>
      <w:bookmarkEnd w:id="88"/>
      <w:r w:rsidRPr="00916816">
        <w:rPr>
          <w:rFonts w:ascii="Arial" w:hAnsi="Arial" w:cs="Arial"/>
        </w:rPr>
        <w:t>:</w:t>
      </w:r>
      <w:r w:rsidR="00587DAA">
        <w:rPr>
          <w:rFonts w:ascii="Arial" w:hAnsi="Arial" w:cs="Arial"/>
        </w:rPr>
        <w:t xml:space="preserve"> </w:t>
      </w:r>
      <w:r w:rsidRPr="00916816">
        <w:rPr>
          <w:rFonts w:ascii="Arial" w:hAnsi="Arial" w:cs="Arial"/>
        </w:rPr>
        <w:t xml:space="preserve">BLER for </w:t>
      </w:r>
      <w:r w:rsidR="00FC77F8" w:rsidRPr="00916816">
        <w:rPr>
          <w:rFonts w:ascii="Arial" w:hAnsi="Arial" w:cs="Arial"/>
        </w:rPr>
        <w:t>i</w:t>
      </w:r>
      <w:r w:rsidR="00FE3A74" w:rsidRPr="00916816">
        <w:rPr>
          <w:rFonts w:ascii="Arial" w:hAnsi="Arial" w:cs="Arial"/>
        </w:rPr>
        <w:t>ndoor office</w:t>
      </w:r>
      <w:r w:rsidRPr="00916816">
        <w:rPr>
          <w:rFonts w:ascii="Arial" w:hAnsi="Arial" w:cs="Arial"/>
        </w:rPr>
        <w:t>, CDL-B with 8x16 gNB and 4x4 UE arrays per polarization (performance results for MCS7, MCS 16 and MCS 22 are plotted with red, black, and blue curves, respectively).</w:t>
      </w:r>
    </w:p>
    <w:p w14:paraId="70B18231" w14:textId="77777777" w:rsidR="00CD0D65" w:rsidRPr="00F94015" w:rsidRDefault="00CD0D65" w:rsidP="00F94015"/>
    <w:p w14:paraId="31D2535A" w14:textId="7FFAB7D6" w:rsidR="0019577B" w:rsidRDefault="00912029">
      <w:pPr>
        <w:pStyle w:val="Heading4"/>
      </w:pPr>
      <w:r>
        <w:t>3.1.2.3</w:t>
      </w:r>
      <w:r>
        <w:tab/>
      </w:r>
      <w:r w:rsidR="0019577B" w:rsidRPr="00F94015">
        <w:t>Link level evaluation results for CDL-D channel model</w:t>
      </w:r>
    </w:p>
    <w:p w14:paraId="3E622E42" w14:textId="665B6456" w:rsidR="001F434E" w:rsidRDefault="002228BE" w:rsidP="00F94015">
      <w:r w:rsidRPr="00CE69E9">
        <w:rPr>
          <w:rFonts w:ascii="Arial" w:hAnsi="Arial"/>
          <w:lang w:eastAsia="zh-CN"/>
        </w:rPr>
        <w:t>The link results presented here correspond to the "modified CDL-</w:t>
      </w:r>
      <w:r>
        <w:rPr>
          <w:rFonts w:ascii="Arial" w:hAnsi="Arial"/>
          <w:lang w:eastAsia="zh-CN"/>
        </w:rPr>
        <w:t>D</w:t>
      </w:r>
      <w:r w:rsidRPr="00CE69E9">
        <w:rPr>
          <w:rFonts w:ascii="Arial" w:hAnsi="Arial"/>
          <w:lang w:eastAsia="zh-CN"/>
        </w:rPr>
        <w:t xml:space="preserve"> model" described in the link level evaluation assumptions (see </w:t>
      </w:r>
      <w:r w:rsidRPr="00F94015">
        <w:rPr>
          <w:rFonts w:ascii="Arial" w:hAnsi="Arial"/>
          <w:lang w:eastAsia="zh-CN"/>
        </w:rPr>
        <w:fldChar w:fldCharType="begin"/>
      </w:r>
      <w:r w:rsidRPr="00CE69E9">
        <w:rPr>
          <w:rFonts w:ascii="Arial" w:hAnsi="Arial"/>
          <w:lang w:eastAsia="zh-CN"/>
        </w:rPr>
        <w:instrText xml:space="preserve"> REF _Ref46321089 \r \h  \* MERGEFORMAT </w:instrText>
      </w:r>
      <w:r w:rsidRPr="00F94015">
        <w:rPr>
          <w:rFonts w:ascii="Arial" w:hAnsi="Arial"/>
          <w:lang w:eastAsia="zh-CN"/>
        </w:rPr>
      </w:r>
      <w:r w:rsidRPr="00F94015">
        <w:rPr>
          <w:rFonts w:ascii="Arial" w:hAnsi="Arial"/>
          <w:lang w:eastAsia="zh-CN"/>
        </w:rPr>
        <w:fldChar w:fldCharType="separate"/>
      </w:r>
      <w:r w:rsidR="00CF206F">
        <w:rPr>
          <w:rFonts w:ascii="Arial" w:hAnsi="Arial"/>
          <w:lang w:eastAsia="zh-CN"/>
        </w:rPr>
        <w:t>[7]</w:t>
      </w:r>
      <w:r w:rsidRPr="00F94015">
        <w:rPr>
          <w:rFonts w:ascii="Arial" w:hAnsi="Arial"/>
          <w:lang w:eastAsia="zh-CN"/>
        </w:rPr>
        <w:fldChar w:fldCharType="end"/>
      </w:r>
      <w:r w:rsidRPr="00CE69E9">
        <w:rPr>
          <w:rFonts w:ascii="Arial" w:hAnsi="Arial"/>
          <w:lang w:eastAsia="zh-CN"/>
        </w:rPr>
        <w:t xml:space="preserve">) with scaling/translation of the angles and the K-factor corresponding to both UMi and Indoor Office. On top of this, the mean angles of arrival are randomized as described in </w:t>
      </w:r>
      <w:r>
        <w:rPr>
          <w:rFonts w:ascii="Arial" w:hAnsi="Arial"/>
          <w:lang w:eastAsia="zh-CN"/>
        </w:rPr>
        <w:t>Section 3.1.2.1.</w:t>
      </w:r>
      <w:r w:rsidR="001F434E">
        <w:rPr>
          <w:rFonts w:ascii="Arial" w:hAnsi="Arial"/>
          <w:lang w:eastAsia="zh-CN"/>
        </w:rPr>
        <w:t xml:space="preserve"> </w:t>
      </w:r>
      <w:r w:rsidR="001F434E" w:rsidRPr="00F94015">
        <w:rPr>
          <w:rFonts w:ascii="Arial" w:hAnsi="Arial"/>
          <w:lang w:eastAsia="zh-CN"/>
        </w:rPr>
        <w:fldChar w:fldCharType="begin"/>
      </w:r>
      <w:r w:rsidR="001F434E" w:rsidRPr="00CE69E9">
        <w:rPr>
          <w:rFonts w:ascii="Arial" w:hAnsi="Arial"/>
          <w:lang w:eastAsia="zh-CN"/>
        </w:rPr>
        <w:instrText xml:space="preserve"> REF _Ref47535295 \h </w:instrText>
      </w:r>
      <w:r w:rsidR="001F434E">
        <w:rPr>
          <w:rFonts w:ascii="Arial" w:hAnsi="Arial"/>
          <w:lang w:eastAsia="zh-CN"/>
        </w:rPr>
        <w:instrText xml:space="preserve"> \* MERGEFORMAT </w:instrText>
      </w:r>
      <w:r w:rsidR="001F434E" w:rsidRPr="00F94015">
        <w:rPr>
          <w:rFonts w:ascii="Arial" w:hAnsi="Arial"/>
          <w:lang w:eastAsia="zh-CN"/>
        </w:rPr>
      </w:r>
      <w:r w:rsidR="001F434E" w:rsidRPr="00F94015">
        <w:rPr>
          <w:rFonts w:ascii="Arial" w:hAnsi="Arial"/>
          <w:lang w:eastAsia="zh-CN"/>
        </w:rPr>
        <w:fldChar w:fldCharType="separate"/>
      </w:r>
      <w:r w:rsidR="00CF206F" w:rsidRPr="00CF206F">
        <w:rPr>
          <w:rFonts w:ascii="Arial" w:hAnsi="Arial"/>
          <w:lang w:eastAsia="zh-CN"/>
        </w:rPr>
        <w:t xml:space="preserve">Figure </w:t>
      </w:r>
      <w:r w:rsidR="00CF206F" w:rsidRPr="00CF206F">
        <w:rPr>
          <w:rFonts w:ascii="Arial" w:hAnsi="Arial"/>
          <w:lang w:eastAsia="zh-CN"/>
        </w:rPr>
        <w:t>14</w:t>
      </w:r>
      <w:r w:rsidR="001F434E" w:rsidRPr="00F94015">
        <w:rPr>
          <w:rFonts w:ascii="Arial" w:hAnsi="Arial"/>
          <w:lang w:eastAsia="zh-CN"/>
        </w:rPr>
        <w:fldChar w:fldCharType="end"/>
      </w:r>
      <w:r w:rsidR="001F434E" w:rsidRPr="00CE69E9">
        <w:rPr>
          <w:rFonts w:ascii="Arial" w:hAnsi="Arial"/>
          <w:lang w:eastAsia="zh-CN"/>
        </w:rPr>
        <w:t xml:space="preserve"> – </w:t>
      </w:r>
      <w:r w:rsidR="001F434E" w:rsidRPr="00F94015">
        <w:rPr>
          <w:rFonts w:ascii="Arial" w:hAnsi="Arial"/>
          <w:lang w:eastAsia="zh-CN"/>
        </w:rPr>
        <w:fldChar w:fldCharType="begin"/>
      </w:r>
      <w:r w:rsidR="001F434E" w:rsidRPr="00CE69E9">
        <w:rPr>
          <w:rFonts w:ascii="Arial" w:hAnsi="Arial"/>
          <w:lang w:eastAsia="zh-CN"/>
        </w:rPr>
        <w:instrText xml:space="preserve"> REF _Ref47535346 \h </w:instrText>
      </w:r>
      <w:r w:rsidR="001F434E">
        <w:rPr>
          <w:rFonts w:ascii="Arial" w:hAnsi="Arial"/>
          <w:lang w:eastAsia="zh-CN"/>
        </w:rPr>
        <w:instrText xml:space="preserve"> \* MERGEFORMAT </w:instrText>
      </w:r>
      <w:r w:rsidR="001F434E" w:rsidRPr="00F94015">
        <w:rPr>
          <w:rFonts w:ascii="Arial" w:hAnsi="Arial"/>
          <w:lang w:eastAsia="zh-CN"/>
        </w:rPr>
      </w:r>
      <w:r w:rsidR="001F434E" w:rsidRPr="00F94015">
        <w:rPr>
          <w:rFonts w:ascii="Arial" w:hAnsi="Arial"/>
          <w:lang w:eastAsia="zh-CN"/>
        </w:rPr>
        <w:fldChar w:fldCharType="separate"/>
      </w:r>
      <w:r w:rsidR="00CF206F" w:rsidRPr="00CF206F">
        <w:rPr>
          <w:rFonts w:ascii="Arial" w:hAnsi="Arial"/>
          <w:lang w:eastAsia="zh-CN"/>
        </w:rPr>
        <w:t xml:space="preserve">Figure </w:t>
      </w:r>
      <w:r w:rsidR="00CF206F" w:rsidRPr="00CF206F">
        <w:rPr>
          <w:rFonts w:ascii="Arial" w:hAnsi="Arial"/>
          <w:lang w:eastAsia="zh-CN"/>
        </w:rPr>
        <w:t>17</w:t>
      </w:r>
      <w:r w:rsidR="001F434E" w:rsidRPr="00F94015">
        <w:rPr>
          <w:rFonts w:ascii="Arial" w:hAnsi="Arial"/>
          <w:lang w:eastAsia="zh-CN"/>
        </w:rPr>
        <w:fldChar w:fldCharType="end"/>
      </w:r>
      <w:r w:rsidR="001F434E" w:rsidRPr="00CE69E9">
        <w:rPr>
          <w:rFonts w:ascii="Arial" w:hAnsi="Arial"/>
          <w:lang w:eastAsia="zh-CN"/>
        </w:rPr>
        <w:t xml:space="preserve"> consider 4 scenarios </w:t>
      </w:r>
      <w:r w:rsidR="00D53931" w:rsidRPr="00D53931">
        <w:rPr>
          <w:rFonts w:ascii="Arial" w:hAnsi="Arial"/>
          <w:lang w:eastAsia="zh-CN"/>
        </w:rPr>
        <w:t>where for each one simple ICI compensation using a 3-tap de-ICI filter (i.e., u=1) is used.</w:t>
      </w:r>
    </w:p>
    <w:p w14:paraId="5394B0D0" w14:textId="101D889C" w:rsidR="002228BE" w:rsidRDefault="002228BE">
      <w:pPr>
        <w:pStyle w:val="BodyText"/>
        <w:numPr>
          <w:ilvl w:val="0"/>
          <w:numId w:val="54"/>
        </w:numPr>
        <w:spacing w:after="0"/>
      </w:pPr>
      <w:r>
        <w:t xml:space="preserve">UMi CDL-D, 4x8 gNB, 2x2 UE </w:t>
      </w:r>
    </w:p>
    <w:p w14:paraId="0A4FF302" w14:textId="7C221C73" w:rsidR="002228BE" w:rsidRDefault="002228BE" w:rsidP="002228BE">
      <w:pPr>
        <w:pStyle w:val="BodyText"/>
        <w:numPr>
          <w:ilvl w:val="0"/>
          <w:numId w:val="54"/>
        </w:numPr>
        <w:spacing w:after="0"/>
      </w:pPr>
      <w:r>
        <w:t>Indoor Office CDL-D, 4x8 gNB, 2x2 UE</w:t>
      </w:r>
    </w:p>
    <w:p w14:paraId="382A463B" w14:textId="7A5E459F" w:rsidR="002228BE" w:rsidRDefault="002228BE" w:rsidP="002228BE">
      <w:pPr>
        <w:pStyle w:val="BodyText"/>
        <w:numPr>
          <w:ilvl w:val="0"/>
          <w:numId w:val="54"/>
        </w:numPr>
        <w:spacing w:after="0"/>
      </w:pPr>
      <w:r>
        <w:t>UMi CDL-D, 8x16 gNB, 4x4 UE</w:t>
      </w:r>
    </w:p>
    <w:p w14:paraId="48D5093E" w14:textId="157DD934" w:rsidR="002228BE" w:rsidRDefault="002228BE" w:rsidP="002228BE">
      <w:pPr>
        <w:pStyle w:val="BodyText"/>
        <w:numPr>
          <w:ilvl w:val="0"/>
          <w:numId w:val="54"/>
        </w:numPr>
      </w:pPr>
      <w:r>
        <w:t xml:space="preserve">Indoor Office CDL-D, 8x16 gNB, 4x4 UE </w:t>
      </w:r>
    </w:p>
    <w:p w14:paraId="38D4416C" w14:textId="4A6BD66E" w:rsidR="0083605A" w:rsidRDefault="00EA0E7D" w:rsidP="00F94015">
      <w:pPr>
        <w:pStyle w:val="BodyText"/>
        <w:shd w:val="clear" w:color="auto" w:fill="FFFFFF" w:themeFill="background1"/>
      </w:pPr>
      <w:r>
        <w:t xml:space="preserve">Given the </w:t>
      </w:r>
      <w:r w:rsidR="00C035C6">
        <w:t>nature of the LOS channel</w:t>
      </w:r>
      <w:r w:rsidR="006C36A8">
        <w:t>s</w:t>
      </w:r>
      <w:r w:rsidR="00C035C6">
        <w:t xml:space="preserve"> and the availability of two UE panels to select</w:t>
      </w:r>
      <w:r w:rsidR="00BD0431">
        <w:t xml:space="preserve"> for reception, there is generally no </w:t>
      </w:r>
      <w:r w:rsidR="00A82E9E">
        <w:t xml:space="preserve">observable performance degradation due </w:t>
      </w:r>
      <w:r w:rsidR="004A2D5B">
        <w:t xml:space="preserve">to excessive </w:t>
      </w:r>
      <w:r w:rsidR="00920032">
        <w:t>delay spread</w:t>
      </w:r>
      <w:r w:rsidR="00C06F0A">
        <w:t>s</w:t>
      </w:r>
      <w:r w:rsidR="00920032">
        <w:t xml:space="preserve"> for sub-carrier spacing up to 960 kHz. </w:t>
      </w:r>
      <w:r w:rsidR="00194EFA">
        <w:t xml:space="preserve">In all </w:t>
      </w:r>
      <w:r w:rsidR="00C06F0A">
        <w:t>case</w:t>
      </w:r>
      <w:r w:rsidR="00A96346">
        <w:t xml:space="preserve">s, </w:t>
      </w:r>
      <w:r w:rsidR="00911A43">
        <w:t xml:space="preserve">simple </w:t>
      </w:r>
      <w:r w:rsidR="00184E23">
        <w:t xml:space="preserve">ICI compensation </w:t>
      </w:r>
      <w:r w:rsidR="000C2289">
        <w:t xml:space="preserve">procedure </w:t>
      </w:r>
      <w:r w:rsidR="00D53931">
        <w:t>results in</w:t>
      </w:r>
      <w:r w:rsidR="000C2289">
        <w:t xml:space="preserve"> the link performance of smaller sub-carrier spacings to be on par with that of the larger </w:t>
      </w:r>
      <w:r w:rsidR="0031774A">
        <w:t xml:space="preserve">sub-carrier spacings. </w:t>
      </w:r>
      <w:r w:rsidR="006D05F3">
        <w:rPr>
          <w:szCs w:val="22"/>
        </w:rPr>
        <w:t>Therefore</w:t>
      </w:r>
      <w:r w:rsidR="006D05F3">
        <w:t>, there is no need to drastically increase SCS, e.g., to 960 kHz, to combat phase noise.</w:t>
      </w:r>
    </w:p>
    <w:p w14:paraId="54974154" w14:textId="7CD98ED2" w:rsidR="00380210" w:rsidRPr="00916816" w:rsidRDefault="7F73F5C4" w:rsidP="00F94015">
      <w:pPr>
        <w:pStyle w:val="BodyText"/>
        <w:keepNext/>
        <w:tabs>
          <w:tab w:val="left" w:pos="5585"/>
        </w:tabs>
        <w:jc w:val="center"/>
        <w:rPr>
          <w:rFonts w:cs="Arial"/>
        </w:rPr>
      </w:pPr>
      <w:r>
        <w:rPr>
          <w:noProof/>
        </w:rPr>
        <w:lastRenderedPageBreak/>
        <w:drawing>
          <wp:inline distT="0" distB="0" distL="0" distR="0" wp14:anchorId="7D2325D6" wp14:editId="6C5A847F">
            <wp:extent cx="3017520" cy="2239363"/>
            <wp:effectExtent l="0" t="0" r="0" b="8890"/>
            <wp:docPr id="105927369" name="Picture 1084127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48"/>
                    <pic:cNvPicPr/>
                  </pic:nvPicPr>
                  <pic:blipFill>
                    <a:blip r:embed="rId29">
                      <a:extLst>
                        <a:ext uri="{28A0092B-C50C-407E-A947-70E740481C1C}">
                          <a14:useLocalDpi xmlns:a14="http://schemas.microsoft.com/office/drawing/2010/main" val="0"/>
                        </a:ext>
                      </a:extLst>
                    </a:blip>
                    <a:stretch>
                      <a:fillRect/>
                    </a:stretch>
                  </pic:blipFill>
                  <pic:spPr>
                    <a:xfrm>
                      <a:off x="0" y="0"/>
                      <a:ext cx="3017520" cy="2239363"/>
                    </a:xfrm>
                    <a:prstGeom prst="rect">
                      <a:avLst/>
                    </a:prstGeom>
                  </pic:spPr>
                </pic:pic>
              </a:graphicData>
            </a:graphic>
          </wp:inline>
        </w:drawing>
      </w:r>
    </w:p>
    <w:p w14:paraId="49B2222F" w14:textId="257EC869" w:rsidR="00380210" w:rsidRPr="00916816" w:rsidRDefault="00380210" w:rsidP="00E12344">
      <w:pPr>
        <w:pStyle w:val="Caption"/>
        <w:jc w:val="both"/>
        <w:rPr>
          <w:rFonts w:ascii="Arial" w:hAnsi="Arial" w:cs="Arial"/>
        </w:rPr>
      </w:pPr>
      <w:bookmarkStart w:id="89" w:name="_Ref47535295"/>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14</w:t>
      </w:r>
      <w:r w:rsidRPr="00916816">
        <w:rPr>
          <w:rFonts w:ascii="Arial" w:hAnsi="Arial" w:cs="Arial"/>
        </w:rPr>
        <w:fldChar w:fldCharType="end"/>
      </w:r>
      <w:bookmarkEnd w:id="89"/>
      <w:r w:rsidRPr="00916816">
        <w:rPr>
          <w:rFonts w:ascii="Arial" w:hAnsi="Arial" w:cs="Arial"/>
        </w:rPr>
        <w:t>: BLER for UMi, CDL-D with 4x8 gNB and 2x2 UE arrays per polarization (performance results for MCS7, MCS 16 and MCS 22 are plotted with red, black, and blue curves, respectively).</w:t>
      </w:r>
    </w:p>
    <w:p w14:paraId="68DB83C5" w14:textId="5605A82A" w:rsidR="00AF0A9E" w:rsidRPr="00916816" w:rsidRDefault="7208B566" w:rsidP="00F94015">
      <w:pPr>
        <w:pStyle w:val="BodyText"/>
        <w:keepNext/>
        <w:tabs>
          <w:tab w:val="left" w:pos="5585"/>
        </w:tabs>
        <w:jc w:val="center"/>
        <w:rPr>
          <w:rFonts w:cs="Arial"/>
        </w:rPr>
      </w:pPr>
      <w:r>
        <w:rPr>
          <w:noProof/>
        </w:rPr>
        <w:drawing>
          <wp:inline distT="0" distB="0" distL="0" distR="0" wp14:anchorId="785E7A46" wp14:editId="2B4E9636">
            <wp:extent cx="3017520" cy="2263140"/>
            <wp:effectExtent l="0" t="0" r="0" b="3810"/>
            <wp:docPr id="195877079" name="Picture 1084127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37"/>
                    <pic:cNvPicPr/>
                  </pic:nvPicPr>
                  <pic:blipFill>
                    <a:blip r:embed="rId3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485B0D8F" w14:textId="7676CD52" w:rsidR="00AF0A9E" w:rsidRPr="00916816" w:rsidRDefault="00AF0A9E" w:rsidP="00E12344">
      <w:pPr>
        <w:pStyle w:val="Caption"/>
        <w:jc w:val="both"/>
        <w:rPr>
          <w:rFonts w:ascii="Arial" w:hAnsi="Arial" w:cs="Arial"/>
        </w:rPr>
      </w:pPr>
      <w:bookmarkStart w:id="90" w:name="_Ref47535338"/>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15</w:t>
      </w:r>
      <w:r w:rsidRPr="00916816">
        <w:rPr>
          <w:rFonts w:ascii="Arial" w:hAnsi="Arial" w:cs="Arial"/>
        </w:rPr>
        <w:fldChar w:fldCharType="end"/>
      </w:r>
      <w:bookmarkEnd w:id="90"/>
      <w:r w:rsidRPr="00916816">
        <w:rPr>
          <w:rFonts w:ascii="Arial" w:hAnsi="Arial" w:cs="Arial"/>
        </w:rPr>
        <w:t xml:space="preserve">: BLER for </w:t>
      </w:r>
      <w:r w:rsidR="00FC77F8" w:rsidRPr="00916816">
        <w:rPr>
          <w:rFonts w:ascii="Arial" w:hAnsi="Arial" w:cs="Arial"/>
        </w:rPr>
        <w:t>i</w:t>
      </w:r>
      <w:r w:rsidRPr="00916816">
        <w:rPr>
          <w:rFonts w:ascii="Arial" w:hAnsi="Arial" w:cs="Arial"/>
        </w:rPr>
        <w:t>ndoor office, CDL-D with 4x8 gNB and 2x2 UE arrays per polarization (performance results for MCS7, MCS 16 and MCS 22 are plotted with red, black, and blue curves, respectively).</w:t>
      </w:r>
    </w:p>
    <w:p w14:paraId="664ACA76" w14:textId="4E1C4483" w:rsidR="00052743" w:rsidRPr="00916816" w:rsidRDefault="0563CF42" w:rsidP="00F94015">
      <w:pPr>
        <w:pStyle w:val="BodyText"/>
        <w:keepNext/>
        <w:tabs>
          <w:tab w:val="left" w:pos="5585"/>
        </w:tabs>
        <w:jc w:val="center"/>
        <w:rPr>
          <w:rFonts w:cs="Arial"/>
        </w:rPr>
      </w:pPr>
      <w:r>
        <w:rPr>
          <w:noProof/>
        </w:rPr>
        <w:drawing>
          <wp:inline distT="0" distB="0" distL="0" distR="0" wp14:anchorId="63F532E5" wp14:editId="3EDD5E36">
            <wp:extent cx="3017520" cy="2239363"/>
            <wp:effectExtent l="0" t="0" r="0" b="8890"/>
            <wp:docPr id="551709217" name="Picture 1084127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49"/>
                    <pic:cNvPicPr/>
                  </pic:nvPicPr>
                  <pic:blipFill>
                    <a:blip r:embed="rId31">
                      <a:extLst>
                        <a:ext uri="{28A0092B-C50C-407E-A947-70E740481C1C}">
                          <a14:useLocalDpi xmlns:a14="http://schemas.microsoft.com/office/drawing/2010/main" val="0"/>
                        </a:ext>
                      </a:extLst>
                    </a:blip>
                    <a:stretch>
                      <a:fillRect/>
                    </a:stretch>
                  </pic:blipFill>
                  <pic:spPr>
                    <a:xfrm>
                      <a:off x="0" y="0"/>
                      <a:ext cx="3017520" cy="2239363"/>
                    </a:xfrm>
                    <a:prstGeom prst="rect">
                      <a:avLst/>
                    </a:prstGeom>
                  </pic:spPr>
                </pic:pic>
              </a:graphicData>
            </a:graphic>
          </wp:inline>
        </w:drawing>
      </w:r>
    </w:p>
    <w:p w14:paraId="5E460A66" w14:textId="3FD2BF2E" w:rsidR="00052743" w:rsidRPr="00916816" w:rsidRDefault="00052743" w:rsidP="00E12344">
      <w:pPr>
        <w:pStyle w:val="Caption"/>
        <w:jc w:val="both"/>
        <w:rPr>
          <w:rFonts w:ascii="Arial" w:hAnsi="Arial" w:cs="Arial"/>
        </w:rPr>
      </w:pPr>
      <w:bookmarkStart w:id="91" w:name="_Ref47535304"/>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16</w:t>
      </w:r>
      <w:r w:rsidRPr="00916816">
        <w:rPr>
          <w:rFonts w:ascii="Arial" w:hAnsi="Arial" w:cs="Arial"/>
        </w:rPr>
        <w:fldChar w:fldCharType="end"/>
      </w:r>
      <w:bookmarkEnd w:id="91"/>
      <w:r w:rsidRPr="00916816">
        <w:rPr>
          <w:rFonts w:ascii="Arial" w:hAnsi="Arial" w:cs="Arial"/>
        </w:rPr>
        <w:t xml:space="preserve">: BLER for </w:t>
      </w:r>
      <w:r w:rsidR="00E47A67" w:rsidRPr="00916816">
        <w:rPr>
          <w:rFonts w:ascii="Arial" w:hAnsi="Arial" w:cs="Arial"/>
        </w:rPr>
        <w:t>UMi</w:t>
      </w:r>
      <w:r w:rsidRPr="00916816">
        <w:rPr>
          <w:rFonts w:ascii="Arial" w:hAnsi="Arial" w:cs="Arial"/>
        </w:rPr>
        <w:t xml:space="preserve">, CDL-D with </w:t>
      </w:r>
      <w:r w:rsidR="00E47A67" w:rsidRPr="00916816">
        <w:rPr>
          <w:rFonts w:ascii="Arial" w:hAnsi="Arial" w:cs="Arial"/>
        </w:rPr>
        <w:t>8</w:t>
      </w:r>
      <w:r w:rsidRPr="00916816">
        <w:rPr>
          <w:rFonts w:ascii="Arial" w:hAnsi="Arial" w:cs="Arial"/>
        </w:rPr>
        <w:t>x</w:t>
      </w:r>
      <w:r w:rsidR="00E47A67" w:rsidRPr="00916816">
        <w:rPr>
          <w:rFonts w:ascii="Arial" w:hAnsi="Arial" w:cs="Arial"/>
        </w:rPr>
        <w:t>16</w:t>
      </w:r>
      <w:r w:rsidRPr="00916816">
        <w:rPr>
          <w:rFonts w:ascii="Arial" w:hAnsi="Arial" w:cs="Arial"/>
        </w:rPr>
        <w:t xml:space="preserve"> gNB and </w:t>
      </w:r>
      <w:r w:rsidR="00E47A67" w:rsidRPr="00916816">
        <w:rPr>
          <w:rFonts w:ascii="Arial" w:hAnsi="Arial" w:cs="Arial"/>
        </w:rPr>
        <w:t>4</w:t>
      </w:r>
      <w:r w:rsidRPr="00916816">
        <w:rPr>
          <w:rFonts w:ascii="Arial" w:hAnsi="Arial" w:cs="Arial"/>
        </w:rPr>
        <w:t>x</w:t>
      </w:r>
      <w:r w:rsidR="00E47A67" w:rsidRPr="00916816">
        <w:rPr>
          <w:rFonts w:ascii="Arial" w:hAnsi="Arial" w:cs="Arial"/>
        </w:rPr>
        <w:t>4</w:t>
      </w:r>
      <w:r w:rsidRPr="00916816">
        <w:rPr>
          <w:rFonts w:ascii="Arial" w:hAnsi="Arial" w:cs="Arial"/>
        </w:rPr>
        <w:t xml:space="preserve"> UE arrays per polarization (performance results for MCS7, MCS 16 and MCS 22 are plotted with red, black, and blue curves, respectively).</w:t>
      </w:r>
    </w:p>
    <w:p w14:paraId="650406AF" w14:textId="16E83BCC" w:rsidR="00380885" w:rsidRPr="00916816" w:rsidRDefault="00E3585E" w:rsidP="00F94015">
      <w:pPr>
        <w:pStyle w:val="BodyText"/>
        <w:tabs>
          <w:tab w:val="left" w:pos="5585"/>
        </w:tabs>
        <w:rPr>
          <w:rFonts w:cs="Arial"/>
        </w:rPr>
      </w:pPr>
      <w:r w:rsidRPr="00916816">
        <w:rPr>
          <w:rFonts w:cs="Arial"/>
        </w:rPr>
        <w:tab/>
      </w:r>
    </w:p>
    <w:p w14:paraId="615B3301" w14:textId="556DB6F1" w:rsidR="00EB5BFE" w:rsidRPr="00916816" w:rsidRDefault="4C79D12F" w:rsidP="00F94015">
      <w:pPr>
        <w:pStyle w:val="BodyText"/>
        <w:keepNext/>
        <w:jc w:val="center"/>
        <w:rPr>
          <w:rFonts w:cs="Arial"/>
        </w:rPr>
      </w:pPr>
      <w:r>
        <w:rPr>
          <w:noProof/>
        </w:rPr>
        <w:lastRenderedPageBreak/>
        <w:drawing>
          <wp:inline distT="0" distB="0" distL="0" distR="0" wp14:anchorId="07559E13" wp14:editId="410CEA5F">
            <wp:extent cx="3017520" cy="2239363"/>
            <wp:effectExtent l="0" t="0" r="0" b="8890"/>
            <wp:docPr id="1514464921" name="Picture 108412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39"/>
                    <pic:cNvPicPr/>
                  </pic:nvPicPr>
                  <pic:blipFill>
                    <a:blip r:embed="rId32">
                      <a:extLst>
                        <a:ext uri="{28A0092B-C50C-407E-A947-70E740481C1C}">
                          <a14:useLocalDpi xmlns:a14="http://schemas.microsoft.com/office/drawing/2010/main" val="0"/>
                        </a:ext>
                      </a:extLst>
                    </a:blip>
                    <a:stretch>
                      <a:fillRect/>
                    </a:stretch>
                  </pic:blipFill>
                  <pic:spPr>
                    <a:xfrm>
                      <a:off x="0" y="0"/>
                      <a:ext cx="3017520" cy="2239363"/>
                    </a:xfrm>
                    <a:prstGeom prst="rect">
                      <a:avLst/>
                    </a:prstGeom>
                  </pic:spPr>
                </pic:pic>
              </a:graphicData>
            </a:graphic>
          </wp:inline>
        </w:drawing>
      </w:r>
    </w:p>
    <w:p w14:paraId="08D6C440" w14:textId="7190FD27" w:rsidR="00380885" w:rsidRPr="00916816" w:rsidRDefault="00EB5BFE">
      <w:pPr>
        <w:pStyle w:val="Caption"/>
        <w:jc w:val="both"/>
        <w:rPr>
          <w:rFonts w:ascii="Arial" w:hAnsi="Arial" w:cs="Arial"/>
        </w:rPr>
      </w:pPr>
      <w:bookmarkStart w:id="92" w:name="_Ref47535346"/>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CF206F">
        <w:rPr>
          <w:rFonts w:ascii="Arial" w:hAnsi="Arial" w:cs="Arial"/>
          <w:noProof/>
        </w:rPr>
        <w:t>17</w:t>
      </w:r>
      <w:r w:rsidRPr="00916816">
        <w:rPr>
          <w:rFonts w:ascii="Arial" w:hAnsi="Arial" w:cs="Arial"/>
        </w:rPr>
        <w:fldChar w:fldCharType="end"/>
      </w:r>
      <w:bookmarkEnd w:id="92"/>
      <w:r w:rsidRPr="00916816">
        <w:rPr>
          <w:rFonts w:ascii="Arial" w:hAnsi="Arial" w:cs="Arial"/>
        </w:rPr>
        <w:t xml:space="preserve">: BLER for </w:t>
      </w:r>
      <w:r w:rsidR="00FC77F8" w:rsidRPr="00916816">
        <w:rPr>
          <w:rFonts w:ascii="Arial" w:hAnsi="Arial" w:cs="Arial"/>
        </w:rPr>
        <w:t>indoor office</w:t>
      </w:r>
      <w:r w:rsidRPr="00916816">
        <w:rPr>
          <w:rFonts w:ascii="Arial" w:hAnsi="Arial" w:cs="Arial"/>
        </w:rPr>
        <w:t>, CDL-D with 8x16 gNB and 4x4 UE arrays per polarization (performance results for MCS7, MCS 16 and MCS 22 are plotted with red, black, and blue curves, respectively).</w:t>
      </w:r>
    </w:p>
    <w:p w14:paraId="3678F61F" w14:textId="7B19EC96" w:rsidR="00DA4FF0" w:rsidRDefault="00DA4FF0" w:rsidP="00F94015">
      <w:pPr>
        <w:pStyle w:val="BodyText"/>
      </w:pPr>
    </w:p>
    <w:p w14:paraId="1B976700" w14:textId="1B6ACA09" w:rsidR="00493D65" w:rsidRDefault="00493D65" w:rsidP="00493D65">
      <w:pPr>
        <w:pStyle w:val="Heading3"/>
      </w:pPr>
      <w:bookmarkStart w:id="93" w:name="_Toc46307396"/>
      <w:bookmarkStart w:id="94" w:name="_Toc47530174"/>
      <w:r>
        <w:t>3.1.</w:t>
      </w:r>
      <w:r w:rsidR="002A5BBB">
        <w:t>3</w:t>
      </w:r>
      <w:r>
        <w:tab/>
      </w:r>
      <w:r w:rsidR="009F6EB4">
        <w:t>L</w:t>
      </w:r>
      <w:r>
        <w:t xml:space="preserve">ink level evaluation results </w:t>
      </w:r>
      <w:bookmarkEnd w:id="93"/>
      <w:r w:rsidR="009F6EB4">
        <w:t>for DFTS-OFDM</w:t>
      </w:r>
      <w:bookmarkEnd w:id="94"/>
    </w:p>
    <w:p w14:paraId="2C96430F" w14:textId="0C23A312" w:rsidR="00493D65" w:rsidRPr="00F94015" w:rsidRDefault="006A5B67" w:rsidP="00F94015">
      <w:pPr>
        <w:pStyle w:val="BodyText"/>
        <w:rPr>
          <w:b/>
        </w:rPr>
      </w:pPr>
      <w:r w:rsidRPr="006A174C">
        <w:t xml:space="preserve">For DFT-s-OFDM, </w:t>
      </w:r>
      <w:r w:rsidRPr="00CF633A">
        <w:t xml:space="preserve">PTRS samples are mapped before </w:t>
      </w:r>
      <w:r w:rsidRPr="00A31CA8">
        <w:t>t</w:t>
      </w:r>
      <w:r w:rsidRPr="009840FD">
        <w:t xml:space="preserve">he DFT operation (subsampled time domain) which enable full phase noise </w:t>
      </w:r>
      <w:r w:rsidRPr="007141FA">
        <w:t>estimation and compensation</w:t>
      </w:r>
      <w:r w:rsidRPr="008E2840">
        <w:t xml:space="preserve"> using interpol</w:t>
      </w:r>
      <w:r w:rsidRPr="00DF7927">
        <w:t>ation in time domain</w:t>
      </w:r>
      <w:r w:rsidRPr="00FF7146">
        <w:t>. For DFT-s-</w:t>
      </w:r>
      <w:r w:rsidRPr="00912D7A">
        <w:t xml:space="preserve">OFDM </w:t>
      </w:r>
      <w:r w:rsidR="00BA7D84" w:rsidRPr="00912D7A">
        <w:t>evaluation</w:t>
      </w:r>
      <w:r w:rsidRPr="00912D7A">
        <w:t xml:space="preserve">, we consider PT-RS configuration with Ng = 8, Ns = 4, L = 1. Our </w:t>
      </w:r>
      <w:r w:rsidR="00BA7D84" w:rsidRPr="00912D7A">
        <w:t>results</w:t>
      </w:r>
      <w:r w:rsidRPr="00912D7A">
        <w:t xml:space="preserve"> </w:t>
      </w:r>
      <w:r w:rsidR="00BA7D84" w:rsidRPr="00912D7A">
        <w:t>demonstrate</w:t>
      </w:r>
      <w:r w:rsidRPr="00912D7A">
        <w:t xml:space="preserve"> that </w:t>
      </w:r>
      <w:r w:rsidR="0002212C" w:rsidRPr="00912D7A">
        <w:t>the Rel-15 PTRS design</w:t>
      </w:r>
      <w:r w:rsidRPr="00912D7A">
        <w:t xml:space="preserve"> address phase noise issues </w:t>
      </w:r>
      <w:r w:rsidR="00204F50">
        <w:t xml:space="preserve">for </w:t>
      </w:r>
      <w:r w:rsidR="00F804E7">
        <w:t xml:space="preserve">all considered </w:t>
      </w:r>
      <w:r w:rsidR="00204F50">
        <w:t>sub-carrier spacing</w:t>
      </w:r>
      <w:r w:rsidR="00F804E7">
        <w:t>s</w:t>
      </w:r>
      <w:r w:rsidR="00204F50">
        <w:t xml:space="preserve"> </w:t>
      </w:r>
      <w:r w:rsidRPr="00AC5741">
        <w:t>i</w:t>
      </w:r>
      <w:r w:rsidRPr="00CF633A">
        <w:t>n the 52.6 – 71 GHz f</w:t>
      </w:r>
      <w:r w:rsidRPr="00A31CA8">
        <w:t>requency range. Therefore, it is not necessary to drastica</w:t>
      </w:r>
      <w:r w:rsidRPr="009840FD">
        <w:t>ll</w:t>
      </w:r>
      <w:r w:rsidRPr="00806CCE">
        <w:t>y</w:t>
      </w:r>
      <w:r w:rsidRPr="00876E8A">
        <w:t xml:space="preserve"> increase the SCS e.g., to 960 kHz, for the purposes of combating</w:t>
      </w:r>
      <w:r w:rsidR="00696EEB">
        <w:t xml:space="preserve"> phase noise</w:t>
      </w:r>
      <w:r w:rsidRPr="00AC5741">
        <w:t>.</w:t>
      </w:r>
    </w:p>
    <w:p w14:paraId="76EFB29D" w14:textId="77777777" w:rsidR="00FE0FC1" w:rsidRPr="00F94015" w:rsidRDefault="00FE0FC1" w:rsidP="00F94015">
      <w:pPr>
        <w:pStyle w:val="BodyText"/>
        <w:rPr>
          <w:b/>
        </w:rPr>
      </w:pPr>
    </w:p>
    <w:p w14:paraId="067E3AB0" w14:textId="2312B1DC" w:rsidR="0002212C" w:rsidRDefault="0002212C" w:rsidP="0002212C">
      <w:pPr>
        <w:pStyle w:val="Observation"/>
      </w:pPr>
      <w:bookmarkStart w:id="95" w:name="_Toc47712021"/>
      <w:r>
        <w:t>Phase noise induced performance issues for the DFT-s-OFDM waveform in the 52.6 – 71 GHz frequency range can be addressed with the Rel-15 uplink PTRS structure and currently supported SCS values, e.g., 120 kHz.</w:t>
      </w:r>
      <w:bookmarkEnd w:id="95"/>
    </w:p>
    <w:p w14:paraId="6751159B" w14:textId="77777777" w:rsidR="00A5537F" w:rsidRPr="006A174C" w:rsidRDefault="00A5537F" w:rsidP="00F94015">
      <w:pPr>
        <w:pStyle w:val="BodyText"/>
      </w:pPr>
    </w:p>
    <w:p w14:paraId="2A7444D6" w14:textId="605649AC" w:rsidR="00852E4A" w:rsidRDefault="7B7BE4F2" w:rsidP="00F94015">
      <w:pPr>
        <w:pStyle w:val="BodyText"/>
      </w:pPr>
      <w:r>
        <w:t xml:space="preserve"> </w:t>
      </w:r>
      <w:r w:rsidR="052E5C75">
        <w:rPr>
          <w:noProof/>
        </w:rPr>
        <w:drawing>
          <wp:inline distT="0" distB="0" distL="0" distR="0" wp14:anchorId="5755D141" wp14:editId="33242838">
            <wp:extent cx="3017520" cy="2242493"/>
            <wp:effectExtent l="0" t="0" r="0" b="5715"/>
            <wp:docPr id="133659406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pic:nvPicPr>
                  <pic:blipFill>
                    <a:blip r:embed="rId33">
                      <a:extLst>
                        <a:ext uri="{28A0092B-C50C-407E-A947-70E740481C1C}">
                          <a14:useLocalDpi xmlns:a14="http://schemas.microsoft.com/office/drawing/2010/main" val="0"/>
                        </a:ext>
                      </a:extLst>
                    </a:blip>
                    <a:stretch>
                      <a:fillRect/>
                    </a:stretch>
                  </pic:blipFill>
                  <pic:spPr>
                    <a:xfrm>
                      <a:off x="0" y="0"/>
                      <a:ext cx="3017520" cy="2242493"/>
                    </a:xfrm>
                    <a:prstGeom prst="rect">
                      <a:avLst/>
                    </a:prstGeom>
                  </pic:spPr>
                </pic:pic>
              </a:graphicData>
            </a:graphic>
          </wp:inline>
        </w:drawing>
      </w:r>
      <w:r>
        <w:rPr>
          <w:noProof/>
        </w:rPr>
        <w:drawing>
          <wp:inline distT="0" distB="0" distL="0" distR="0" wp14:anchorId="53656C09" wp14:editId="277DF8D5">
            <wp:extent cx="3017520" cy="2242493"/>
            <wp:effectExtent l="0" t="0" r="0" b="5715"/>
            <wp:docPr id="90646589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pic:nvPicPr>
                  <pic:blipFill>
                    <a:blip r:embed="rId34">
                      <a:extLst>
                        <a:ext uri="{28A0092B-C50C-407E-A947-70E740481C1C}">
                          <a14:useLocalDpi xmlns:a14="http://schemas.microsoft.com/office/drawing/2010/main" val="0"/>
                        </a:ext>
                      </a:extLst>
                    </a:blip>
                    <a:stretch>
                      <a:fillRect/>
                    </a:stretch>
                  </pic:blipFill>
                  <pic:spPr>
                    <a:xfrm>
                      <a:off x="0" y="0"/>
                      <a:ext cx="3017520" cy="2242493"/>
                    </a:xfrm>
                    <a:prstGeom prst="rect">
                      <a:avLst/>
                    </a:prstGeom>
                  </pic:spPr>
                </pic:pic>
              </a:graphicData>
            </a:graphic>
          </wp:inline>
        </w:drawing>
      </w:r>
    </w:p>
    <w:p w14:paraId="49818D4C" w14:textId="6C04BE65" w:rsidR="00852E4A" w:rsidRPr="00FE0FC1" w:rsidRDefault="00852E4A" w:rsidP="00E12344">
      <w:pPr>
        <w:pStyle w:val="Caption"/>
        <w:jc w:val="both"/>
        <w:rPr>
          <w:rFonts w:ascii="Arial" w:hAnsi="Arial" w:cs="Arial"/>
        </w:rPr>
      </w:pPr>
      <w:r w:rsidRPr="00FE0FC1">
        <w:rPr>
          <w:rFonts w:ascii="Arial" w:hAnsi="Arial" w:cs="Arial"/>
        </w:rPr>
        <w:t xml:space="preserve">Figure </w:t>
      </w:r>
      <w:r w:rsidRPr="00FE0FC1">
        <w:rPr>
          <w:rFonts w:ascii="Arial" w:hAnsi="Arial" w:cs="Arial"/>
        </w:rPr>
        <w:fldChar w:fldCharType="begin"/>
      </w:r>
      <w:r w:rsidRPr="00FE0FC1">
        <w:rPr>
          <w:rFonts w:ascii="Arial" w:hAnsi="Arial" w:cs="Arial"/>
        </w:rPr>
        <w:instrText xml:space="preserve"> SEQ Figure \* ARABIC </w:instrText>
      </w:r>
      <w:r w:rsidRPr="00FE0FC1">
        <w:rPr>
          <w:rFonts w:ascii="Arial" w:hAnsi="Arial" w:cs="Arial"/>
        </w:rPr>
        <w:fldChar w:fldCharType="separate"/>
      </w:r>
      <w:r w:rsidR="00CF206F">
        <w:rPr>
          <w:rFonts w:ascii="Arial" w:hAnsi="Arial" w:cs="Arial"/>
          <w:noProof/>
        </w:rPr>
        <w:t>18</w:t>
      </w:r>
      <w:r w:rsidRPr="00FE0FC1">
        <w:rPr>
          <w:rFonts w:ascii="Arial" w:hAnsi="Arial" w:cs="Arial"/>
        </w:rPr>
        <w:fldChar w:fldCharType="end"/>
      </w:r>
      <w:r w:rsidRPr="00FE0FC1">
        <w:rPr>
          <w:rFonts w:ascii="Arial" w:hAnsi="Arial" w:cs="Arial"/>
        </w:rPr>
        <w:t>:</w:t>
      </w:r>
      <w:r w:rsidR="008A0AD2" w:rsidRPr="00FE0FC1">
        <w:rPr>
          <w:rFonts w:ascii="Arial" w:hAnsi="Arial" w:cs="Arial"/>
        </w:rPr>
        <w:t xml:space="preserve"> </w:t>
      </w:r>
      <w:r w:rsidRPr="00FE0FC1">
        <w:rPr>
          <w:rFonts w:ascii="Arial" w:hAnsi="Arial" w:cs="Arial"/>
        </w:rPr>
        <w:t>BLER for TDL-A with 5</w:t>
      </w:r>
      <w:r w:rsidR="00A61B51" w:rsidRPr="00FE0FC1">
        <w:rPr>
          <w:rFonts w:ascii="Arial" w:hAnsi="Arial" w:cs="Arial"/>
        </w:rPr>
        <w:t xml:space="preserve"> ns</w:t>
      </w:r>
      <w:r w:rsidRPr="00FE0FC1">
        <w:rPr>
          <w:rFonts w:ascii="Arial" w:hAnsi="Arial" w:cs="Arial"/>
        </w:rPr>
        <w:t xml:space="preserve"> and 10 ns (performance results for MCS 7, MCS 16, and MCS 22 are plotted with red, black, and blue curves, respectively).</w:t>
      </w:r>
    </w:p>
    <w:p w14:paraId="1574A479" w14:textId="77777777" w:rsidR="00DA4FF0" w:rsidRDefault="00DA4FF0" w:rsidP="008A2C71">
      <w:pPr>
        <w:pStyle w:val="BodyText"/>
      </w:pPr>
    </w:p>
    <w:p w14:paraId="5C18EC78" w14:textId="37E53BA8" w:rsidR="008A2C71" w:rsidRDefault="00C02300" w:rsidP="008A2C71">
      <w:pPr>
        <w:pStyle w:val="Heading2"/>
      </w:pPr>
      <w:bookmarkStart w:id="96" w:name="_Toc46307397"/>
      <w:bookmarkStart w:id="97" w:name="_Toc47530175"/>
      <w:r>
        <w:lastRenderedPageBreak/>
        <w:t>3</w:t>
      </w:r>
      <w:r w:rsidR="008A2C71">
        <w:t>.</w:t>
      </w:r>
      <w:r w:rsidR="005A6A11">
        <w:t>2</w:t>
      </w:r>
      <w:r w:rsidR="008A2C71">
        <w:tab/>
        <w:t>Cyclic prefix lengths and applicable operation environment sizes</w:t>
      </w:r>
      <w:bookmarkEnd w:id="96"/>
      <w:bookmarkEnd w:id="97"/>
    </w:p>
    <w:p w14:paraId="1F419E50" w14:textId="3910CA75" w:rsidR="00592C9F" w:rsidRDefault="008A2C71" w:rsidP="008A2C71">
      <w:pPr>
        <w:pStyle w:val="BodyText"/>
      </w:pPr>
      <w:r>
        <w:t xml:space="preserve">With a larger sub-carrier spacing, the OFDM symbol duration and the associated cyclic prefix (CP) duration become shorter. As shown in </w:t>
      </w:r>
      <w:r>
        <w:fldChar w:fldCharType="begin"/>
      </w:r>
      <w:r>
        <w:instrText xml:space="preserve"> REF _Ref39485433 \h </w:instrText>
      </w:r>
      <w:r>
        <w:fldChar w:fldCharType="separate"/>
      </w:r>
      <w:r w:rsidR="00CF206F">
        <w:t>Figure</w:t>
      </w:r>
      <w:r w:rsidR="00CF206F" w:rsidRPr="009468CF">
        <w:t xml:space="preserve"> </w:t>
      </w:r>
      <w:r w:rsidR="00CF206F">
        <w:rPr>
          <w:noProof/>
        </w:rPr>
        <w:t>19</w:t>
      </w:r>
      <w:r>
        <w:fldChar w:fldCharType="end"/>
      </w:r>
      <w:r>
        <w:t xml:space="preserve">, the normal CP lengths are reduced from 586 ns for 120 kHz SCS to 73 ns or shorter for 960 kHz or higher SCS. Such short CP lengths present serious link performance and hence operation environment size limitation to the NR operation in the 52.6 – 71 GHz frequency range. Note that, in addition to the inter-symbol interference issues discussed </w:t>
      </w:r>
      <w:r w:rsidR="004D085E">
        <w:t>above</w:t>
      </w:r>
      <w:r>
        <w:t xml:space="preserve">, short CP lengths can pose serious challenges </w:t>
      </w:r>
      <w:r w:rsidR="0033346E">
        <w:t>from a time synchronization perspective (see next section).</w:t>
      </w:r>
    </w:p>
    <w:p w14:paraId="56FD8FFB" w14:textId="2406669A" w:rsidR="008A2C71" w:rsidRPr="004370BD" w:rsidRDefault="008A2C71" w:rsidP="009468CF">
      <w:pPr>
        <w:pStyle w:val="TF"/>
        <w:keepLines w:val="0"/>
        <w:spacing w:before="0" w:after="240"/>
        <w:rPr>
          <w:lang w:val="en-US"/>
        </w:rPr>
      </w:pPr>
      <w:bookmarkStart w:id="98" w:name="_Ref39485433"/>
      <w:r>
        <w:rPr>
          <w:lang w:val="en-US"/>
        </w:rPr>
        <w:t>Figure</w:t>
      </w:r>
      <w:r w:rsidRPr="009468CF">
        <w:rPr>
          <w:lang w:val="en-US"/>
        </w:rPr>
        <w:t xml:space="preserve"> </w:t>
      </w:r>
      <w:r w:rsidR="00936EC1" w:rsidRPr="009468CF">
        <w:rPr>
          <w:lang w:val="en-US"/>
        </w:rPr>
        <w:fldChar w:fldCharType="begin"/>
      </w:r>
      <w:r w:rsidR="00936EC1" w:rsidRPr="009468CF">
        <w:rPr>
          <w:lang w:val="en-US"/>
        </w:rPr>
        <w:instrText xml:space="preserve"> SEQ Figure \* ARABIC </w:instrText>
      </w:r>
      <w:r w:rsidR="00936EC1" w:rsidRPr="009468CF">
        <w:rPr>
          <w:lang w:val="en-US"/>
        </w:rPr>
        <w:fldChar w:fldCharType="separate"/>
      </w:r>
      <w:r w:rsidR="00CF206F">
        <w:rPr>
          <w:noProof/>
          <w:lang w:val="en-US"/>
        </w:rPr>
        <w:t>19</w:t>
      </w:r>
      <w:r w:rsidR="00936EC1" w:rsidRPr="009468CF">
        <w:rPr>
          <w:lang w:val="en-US"/>
        </w:rPr>
        <w:fldChar w:fldCharType="end"/>
      </w:r>
      <w:bookmarkEnd w:id="98"/>
      <w:r w:rsidRPr="009468CF">
        <w:rPr>
          <w:lang w:val="en-US"/>
        </w:rPr>
        <w:t>:</w:t>
      </w:r>
      <w:r>
        <w:rPr>
          <w:lang w:val="en-US"/>
        </w:rPr>
        <w:t xml:space="preserve"> Normal CP durations for differen</w:t>
      </w:r>
      <w:r w:rsidR="00EC1DA2">
        <w:rPr>
          <w:lang w:val="en-US"/>
        </w:rPr>
        <w:t>t</w:t>
      </w:r>
      <w:r>
        <w:rPr>
          <w:lang w:val="en-US"/>
        </w:rPr>
        <w:t xml:space="preserve"> </w:t>
      </w:r>
      <w:r w:rsidRPr="009468CF">
        <w:rPr>
          <w:lang w:val="en-US"/>
        </w:rPr>
        <w:t>sub-carrier spacing</w:t>
      </w:r>
      <w:r>
        <w:rPr>
          <w:lang w:val="en-US"/>
        </w:rPr>
        <w:t>s</w:t>
      </w:r>
    </w:p>
    <w:tbl>
      <w:tblPr>
        <w:tblStyle w:val="TableGrid"/>
        <w:tblW w:w="8500" w:type="dxa"/>
        <w:tblInd w:w="625" w:type="dxa"/>
        <w:tblLook w:val="04A0" w:firstRow="1" w:lastRow="0" w:firstColumn="1" w:lastColumn="0" w:noHBand="0" w:noVBand="1"/>
      </w:tblPr>
      <w:tblGrid>
        <w:gridCol w:w="2157"/>
        <w:gridCol w:w="1061"/>
        <w:gridCol w:w="1062"/>
        <w:gridCol w:w="1062"/>
        <w:gridCol w:w="1029"/>
        <w:gridCol w:w="1034"/>
        <w:gridCol w:w="1095"/>
      </w:tblGrid>
      <w:tr w:rsidR="00B37CA7" w:rsidRPr="003D63C4" w14:paraId="0F2C13B2" w14:textId="77777777" w:rsidTr="00B9506E">
        <w:tc>
          <w:tcPr>
            <w:tcW w:w="2158" w:type="dxa"/>
            <w:vAlign w:val="bottom"/>
          </w:tcPr>
          <w:p w14:paraId="58897496"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2C4A879E"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42418C2B"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67AB2A4E"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2C82E6A0"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35" w:type="dxa"/>
            <w:vAlign w:val="bottom"/>
          </w:tcPr>
          <w:p w14:paraId="34D65E5E"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089" w:type="dxa"/>
          </w:tcPr>
          <w:p w14:paraId="558FF80E" w14:textId="77777777" w:rsidR="00B37CA7" w:rsidRPr="00552480" w:rsidRDefault="00B37CA7"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B37CA7" w:rsidRPr="003D63C4" w14:paraId="462C82F8" w14:textId="77777777" w:rsidTr="00B9506E">
        <w:tc>
          <w:tcPr>
            <w:tcW w:w="2158" w:type="dxa"/>
            <w:vAlign w:val="bottom"/>
          </w:tcPr>
          <w:p w14:paraId="28FC48A4" w14:textId="77777777" w:rsidR="00B37CA7" w:rsidRPr="00552480" w:rsidRDefault="00B37CA7"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NCP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717B7F29"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585.9</w:t>
            </w:r>
          </w:p>
        </w:tc>
        <w:tc>
          <w:tcPr>
            <w:tcW w:w="1063" w:type="dxa"/>
          </w:tcPr>
          <w:p w14:paraId="29CA41F4"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293.0</w:t>
            </w:r>
          </w:p>
        </w:tc>
        <w:tc>
          <w:tcPr>
            <w:tcW w:w="1063" w:type="dxa"/>
          </w:tcPr>
          <w:p w14:paraId="4F51036F"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146.5</w:t>
            </w:r>
          </w:p>
        </w:tc>
        <w:tc>
          <w:tcPr>
            <w:tcW w:w="1030" w:type="dxa"/>
          </w:tcPr>
          <w:p w14:paraId="71FD9256"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73.2</w:t>
            </w:r>
          </w:p>
        </w:tc>
        <w:tc>
          <w:tcPr>
            <w:tcW w:w="1035" w:type="dxa"/>
          </w:tcPr>
          <w:p w14:paraId="27E3E55B"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36.6</w:t>
            </w:r>
          </w:p>
        </w:tc>
        <w:tc>
          <w:tcPr>
            <w:tcW w:w="1089" w:type="dxa"/>
          </w:tcPr>
          <w:p w14:paraId="4A73590F" w14:textId="77777777" w:rsidR="00B37CA7" w:rsidRPr="00931B68" w:rsidRDefault="00B37CA7" w:rsidP="00AC1B06">
            <w:pPr>
              <w:pStyle w:val="BodyText"/>
              <w:spacing w:before="40" w:after="40"/>
              <w:jc w:val="center"/>
            </w:pPr>
            <w:r>
              <w:t>6.7%</w:t>
            </w:r>
          </w:p>
        </w:tc>
      </w:tr>
    </w:tbl>
    <w:p w14:paraId="34A93ADD" w14:textId="77777777" w:rsidR="008A2C71" w:rsidRDefault="008A2C71" w:rsidP="008A2C71">
      <w:pPr>
        <w:pStyle w:val="BodyText"/>
      </w:pPr>
    </w:p>
    <w:p w14:paraId="489C46B1" w14:textId="626055C2" w:rsidR="00127901" w:rsidRDefault="00A072EE" w:rsidP="009630A8">
      <w:pPr>
        <w:pStyle w:val="BodyText"/>
      </w:pPr>
      <w:r>
        <w:t xml:space="preserve">An important aspect to consider in choosing an appropriate sub-carrier spacing value for the 52.6 – 71 GHz </w:t>
      </w:r>
      <w:r w:rsidR="009C0F8A">
        <w:t xml:space="preserve">frequency </w:t>
      </w:r>
      <w:r>
        <w:t xml:space="preserve">range is the probability of line-of-sign (LOS) propagation </w:t>
      </w:r>
      <w:r w:rsidR="009C0F8A">
        <w:t>for</w:t>
      </w:r>
      <w:r>
        <w:t xml:space="preserve"> </w:t>
      </w:r>
      <w:r w:rsidR="009C0F8A">
        <w:t>a given deployment</w:t>
      </w:r>
      <w:r>
        <w:t xml:space="preserve">. </w:t>
      </w:r>
      <w:r w:rsidR="00543460">
        <w:t xml:space="preserve">For </w:t>
      </w:r>
      <w:r>
        <w:t>system level evaluation,</w:t>
      </w:r>
      <w:r w:rsidR="00127901">
        <w:t xml:space="preserve"> two dense </w:t>
      </w:r>
      <w:r w:rsidR="0033346E">
        <w:t xml:space="preserve">urban </w:t>
      </w:r>
      <w:r w:rsidR="00127901">
        <w:t xml:space="preserve">scenarios have been </w:t>
      </w:r>
      <w:r w:rsidR="00543460">
        <w:t>agreed</w:t>
      </w:r>
      <w:r w:rsidR="00127901">
        <w:t xml:space="preserve"> with Scenario B being the primary outdoor scenario to consider</w:t>
      </w:r>
      <w:r w:rsidR="00543460">
        <w:t xml:space="preserve"> </w:t>
      </w:r>
      <w:r w:rsidR="00543460">
        <w:fldChar w:fldCharType="begin"/>
      </w:r>
      <w:r w:rsidR="00543460">
        <w:instrText xml:space="preserve"> REF _Ref46321089 \r \h </w:instrText>
      </w:r>
      <w:r w:rsidR="00543460">
        <w:fldChar w:fldCharType="separate"/>
      </w:r>
      <w:r w:rsidR="00CF206F">
        <w:t>[7]</w:t>
      </w:r>
      <w:r w:rsidR="00543460">
        <w:fldChar w:fldCharType="end"/>
      </w:r>
      <w:r w:rsidR="00127901">
        <w:t>. Briefly, the two scenarios are characterized as follows:</w:t>
      </w:r>
    </w:p>
    <w:p w14:paraId="10757E2D" w14:textId="01644E4A" w:rsidR="00127901" w:rsidRDefault="00127901" w:rsidP="00F94015">
      <w:pPr>
        <w:pStyle w:val="BodyText"/>
        <w:numPr>
          <w:ilvl w:val="0"/>
          <w:numId w:val="48"/>
        </w:numPr>
        <w:spacing w:after="0"/>
      </w:pPr>
      <w:r>
        <w:t>Scenario A</w:t>
      </w:r>
    </w:p>
    <w:p w14:paraId="10A72058" w14:textId="764CEC59" w:rsidR="00127901" w:rsidRDefault="00127901" w:rsidP="00F94015">
      <w:pPr>
        <w:pStyle w:val="BodyText"/>
        <w:numPr>
          <w:ilvl w:val="1"/>
          <w:numId w:val="48"/>
        </w:numPr>
        <w:spacing w:after="0"/>
      </w:pPr>
      <w:r>
        <w:t>Hexagonal grid with 3 sectors per site and 7 sites with ISD = 150 m</w:t>
      </w:r>
    </w:p>
    <w:p w14:paraId="1F27B96B" w14:textId="11B8B814" w:rsidR="00FF77A1" w:rsidRDefault="00127901" w:rsidP="00F94015">
      <w:pPr>
        <w:pStyle w:val="BodyText"/>
        <w:numPr>
          <w:ilvl w:val="2"/>
          <w:numId w:val="48"/>
        </w:numPr>
        <w:spacing w:after="0"/>
      </w:pPr>
      <w:r>
        <w:t xml:space="preserve">FFS: </w:t>
      </w:r>
      <w:r w:rsidR="009C0F8A">
        <w:t xml:space="preserve">Reduction to </w:t>
      </w:r>
      <w:r>
        <w:t>ISD = 100 m</w:t>
      </w:r>
    </w:p>
    <w:p w14:paraId="47B8CCB5" w14:textId="72F45915" w:rsidR="00FF77A1" w:rsidRDefault="00DF7D25" w:rsidP="00F94015">
      <w:pPr>
        <w:pStyle w:val="BodyText"/>
        <w:numPr>
          <w:ilvl w:val="2"/>
          <w:numId w:val="48"/>
        </w:numPr>
        <w:spacing w:after="0"/>
      </w:pPr>
      <w:r>
        <w:t xml:space="preserve">7 </w:t>
      </w:r>
      <w:r w:rsidR="00FF77A1">
        <w:t xml:space="preserve">"Macro BS" shown with </w:t>
      </w:r>
      <w:r w:rsidR="00FF77A1" w:rsidRPr="00F94015">
        <w:rPr>
          <w:color w:val="0070C0"/>
        </w:rPr>
        <w:t xml:space="preserve">blue </w:t>
      </w:r>
      <w:r w:rsidR="00FF77A1">
        <w:t>stars (only for low band)</w:t>
      </w:r>
      <w:r w:rsidR="009C0F8A">
        <w:t xml:space="preserve"> in </w:t>
      </w:r>
      <w:r w:rsidR="009C0F8A">
        <w:fldChar w:fldCharType="begin"/>
      </w:r>
      <w:r w:rsidR="009C0F8A">
        <w:instrText xml:space="preserve"> REF _Ref47446497 \h </w:instrText>
      </w:r>
      <w:r w:rsidR="009C0F8A">
        <w:fldChar w:fldCharType="separate"/>
      </w:r>
      <w:r w:rsidR="00CF206F" w:rsidRPr="00CB4467">
        <w:rPr>
          <w:rFonts w:cs="Arial"/>
        </w:rPr>
        <w:t xml:space="preserve">Figure </w:t>
      </w:r>
      <w:r w:rsidR="00CF206F">
        <w:rPr>
          <w:rFonts w:cs="Arial"/>
          <w:noProof/>
        </w:rPr>
        <w:t>20</w:t>
      </w:r>
      <w:r w:rsidR="009C0F8A">
        <w:fldChar w:fldCharType="end"/>
      </w:r>
    </w:p>
    <w:p w14:paraId="6C2E16EB" w14:textId="22960358" w:rsidR="00FF77A1" w:rsidRDefault="00FF77A1" w:rsidP="00F94015">
      <w:pPr>
        <w:pStyle w:val="BodyText"/>
        <w:numPr>
          <w:ilvl w:val="1"/>
          <w:numId w:val="48"/>
        </w:numPr>
        <w:spacing w:after="0"/>
      </w:pPr>
      <w:r>
        <w:t xml:space="preserve">3-sector </w:t>
      </w:r>
      <w:r w:rsidR="00ED7B26">
        <w:t>micro</w:t>
      </w:r>
      <w:r>
        <w:t xml:space="preserve"> BS co-located at each site location (for high band, i.e., 52.6 – 71 GHz)</w:t>
      </w:r>
    </w:p>
    <w:p w14:paraId="109E464B" w14:textId="6738B81B" w:rsidR="00FF77A1" w:rsidRDefault="00DF7D25" w:rsidP="00F94015">
      <w:pPr>
        <w:pStyle w:val="BodyText"/>
        <w:numPr>
          <w:ilvl w:val="2"/>
          <w:numId w:val="48"/>
        </w:numPr>
        <w:spacing w:after="0"/>
      </w:pPr>
      <w:r>
        <w:t xml:space="preserve">7 </w:t>
      </w:r>
      <w:r w:rsidR="00ED7B26">
        <w:t>micro</w:t>
      </w:r>
      <w:r w:rsidR="00FF77A1">
        <w:t xml:space="preserve"> BS shown with </w:t>
      </w:r>
      <w:r w:rsidR="00FF77A1" w:rsidRPr="00F94015">
        <w:rPr>
          <w:color w:val="FF0000"/>
        </w:rPr>
        <w:t xml:space="preserve">red </w:t>
      </w:r>
      <w:r w:rsidR="00FF77A1">
        <w:t xml:space="preserve">stars (overlaps </w:t>
      </w:r>
      <w:r w:rsidR="00326EB1">
        <w:t>blue stars)</w:t>
      </w:r>
      <w:r w:rsidR="00FF77A1">
        <w:t xml:space="preserve"> </w:t>
      </w:r>
      <w:r w:rsidR="009C0F8A">
        <w:t xml:space="preserve">in </w:t>
      </w:r>
      <w:r w:rsidR="009C0F8A">
        <w:fldChar w:fldCharType="begin"/>
      </w:r>
      <w:r w:rsidR="009C0F8A">
        <w:instrText xml:space="preserve"> REF _Ref47446497 \h </w:instrText>
      </w:r>
      <w:r w:rsidR="009C0F8A">
        <w:fldChar w:fldCharType="separate"/>
      </w:r>
      <w:r w:rsidR="00CF206F" w:rsidRPr="00CB4467">
        <w:rPr>
          <w:rFonts w:cs="Arial"/>
        </w:rPr>
        <w:t xml:space="preserve">Figure </w:t>
      </w:r>
      <w:r w:rsidR="00CF206F">
        <w:rPr>
          <w:rFonts w:cs="Arial"/>
          <w:noProof/>
        </w:rPr>
        <w:t>20</w:t>
      </w:r>
      <w:r w:rsidR="009C0F8A">
        <w:fldChar w:fldCharType="end"/>
      </w:r>
    </w:p>
    <w:p w14:paraId="3F690182" w14:textId="68C205FC" w:rsidR="003134A3" w:rsidRDefault="1FCD65F1" w:rsidP="00F94015">
      <w:pPr>
        <w:pStyle w:val="BodyText"/>
        <w:keepNext/>
        <w:spacing w:after="0"/>
        <w:jc w:val="center"/>
      </w:pPr>
      <w:r>
        <w:rPr>
          <w:noProof/>
        </w:rPr>
        <w:drawing>
          <wp:inline distT="0" distB="0" distL="0" distR="0" wp14:anchorId="56A4E845" wp14:editId="2A91BFB0">
            <wp:extent cx="4343400" cy="3054096"/>
            <wp:effectExtent l="0" t="0" r="0" b="0"/>
            <wp:docPr id="485507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EB02AF3C-7737-42C3-AED9-F0D3166D54B6}"/>
                        </a:ext>
                      </a:extLst>
                    </a:blip>
                    <a:stretch>
                      <a:fillRect/>
                    </a:stretch>
                  </pic:blipFill>
                  <pic:spPr>
                    <a:xfrm>
                      <a:off x="0" y="0"/>
                      <a:ext cx="4343400" cy="3054096"/>
                    </a:xfrm>
                    <a:prstGeom prst="rect">
                      <a:avLst/>
                    </a:prstGeom>
                  </pic:spPr>
                </pic:pic>
              </a:graphicData>
            </a:graphic>
          </wp:inline>
        </w:drawing>
      </w:r>
    </w:p>
    <w:p w14:paraId="7267C024" w14:textId="42E7F2E7" w:rsidR="00127901" w:rsidRPr="00CB4467" w:rsidRDefault="003134A3" w:rsidP="00F94015">
      <w:pPr>
        <w:pStyle w:val="Caption"/>
        <w:jc w:val="center"/>
        <w:rPr>
          <w:rFonts w:cs="Arial"/>
        </w:rPr>
      </w:pPr>
      <w:bookmarkStart w:id="99" w:name="_Ref47446497"/>
      <w:r w:rsidRPr="00CB4467">
        <w:rPr>
          <w:rFonts w:ascii="Arial" w:hAnsi="Arial" w:cs="Arial"/>
        </w:rPr>
        <w:t xml:space="preserve">Figure </w:t>
      </w:r>
      <w:r w:rsidRPr="00CB4467">
        <w:rPr>
          <w:rFonts w:ascii="Arial" w:hAnsi="Arial" w:cs="Arial"/>
        </w:rPr>
        <w:fldChar w:fldCharType="begin"/>
      </w:r>
      <w:r w:rsidRPr="00CB4467">
        <w:rPr>
          <w:rFonts w:ascii="Arial" w:hAnsi="Arial" w:cs="Arial"/>
        </w:rPr>
        <w:instrText xml:space="preserve"> SEQ Figure \* ARABIC </w:instrText>
      </w:r>
      <w:r w:rsidRPr="00CB4467">
        <w:rPr>
          <w:rFonts w:ascii="Arial" w:hAnsi="Arial" w:cs="Arial"/>
        </w:rPr>
        <w:fldChar w:fldCharType="separate"/>
      </w:r>
      <w:r w:rsidR="00CF206F">
        <w:rPr>
          <w:rFonts w:ascii="Arial" w:hAnsi="Arial" w:cs="Arial"/>
          <w:noProof/>
        </w:rPr>
        <w:t>20</w:t>
      </w:r>
      <w:r w:rsidRPr="00CB4467">
        <w:rPr>
          <w:rFonts w:ascii="Arial" w:hAnsi="Arial" w:cs="Arial"/>
        </w:rPr>
        <w:fldChar w:fldCharType="end"/>
      </w:r>
      <w:bookmarkEnd w:id="99"/>
      <w:r w:rsidRPr="00CB4467">
        <w:rPr>
          <w:rFonts w:ascii="Arial" w:hAnsi="Arial" w:cs="Arial"/>
        </w:rPr>
        <w:t>: Scenario A, 7 sites, ISD = 100 m.</w:t>
      </w:r>
    </w:p>
    <w:p w14:paraId="2114DE16" w14:textId="21C6E74A" w:rsidR="00127901" w:rsidRDefault="00127901" w:rsidP="00F94015">
      <w:pPr>
        <w:pStyle w:val="BodyText"/>
        <w:numPr>
          <w:ilvl w:val="0"/>
          <w:numId w:val="48"/>
        </w:numPr>
        <w:spacing w:after="0"/>
      </w:pPr>
      <w:r>
        <w:t>Scenario B</w:t>
      </w:r>
    </w:p>
    <w:p w14:paraId="36CB5D6C" w14:textId="38E25865" w:rsidR="00FF77A1" w:rsidRDefault="00127901" w:rsidP="00F94015">
      <w:pPr>
        <w:pStyle w:val="BodyText"/>
        <w:numPr>
          <w:ilvl w:val="1"/>
          <w:numId w:val="48"/>
        </w:numPr>
        <w:spacing w:after="0"/>
      </w:pPr>
      <w:r>
        <w:t>Hexagonal grid with 3 sectors per site and 7 sites with ISD = 100 m</w:t>
      </w:r>
    </w:p>
    <w:p w14:paraId="0AA633FB" w14:textId="2E526898" w:rsidR="00FF77A1" w:rsidRDefault="00DF7D25" w:rsidP="00F94015">
      <w:pPr>
        <w:pStyle w:val="BodyText"/>
        <w:numPr>
          <w:ilvl w:val="2"/>
          <w:numId w:val="48"/>
        </w:numPr>
        <w:spacing w:after="0"/>
      </w:pPr>
      <w:r>
        <w:t xml:space="preserve">7 </w:t>
      </w:r>
      <w:r w:rsidR="00FF77A1">
        <w:t xml:space="preserve">"Macro" BS shown with </w:t>
      </w:r>
      <w:r w:rsidR="00FF77A1" w:rsidRPr="00F94015">
        <w:rPr>
          <w:color w:val="0070C0"/>
        </w:rPr>
        <w:t xml:space="preserve">blue </w:t>
      </w:r>
      <w:r w:rsidR="00FF77A1">
        <w:t>stars (only for lowband)</w:t>
      </w:r>
      <w:r w:rsidR="009C0F8A">
        <w:t xml:space="preserve"> in </w:t>
      </w:r>
      <w:r w:rsidR="009C0F8A">
        <w:fldChar w:fldCharType="begin"/>
      </w:r>
      <w:r w:rsidR="009C0F8A">
        <w:instrText xml:space="preserve"> REF _Ref47446519 \h </w:instrText>
      </w:r>
      <w:r w:rsidR="009C0F8A">
        <w:fldChar w:fldCharType="separate"/>
      </w:r>
      <w:r w:rsidR="00CF206F" w:rsidRPr="00CB4467">
        <w:rPr>
          <w:rFonts w:cs="Arial"/>
        </w:rPr>
        <w:t xml:space="preserve">Figure </w:t>
      </w:r>
      <w:r w:rsidR="00CF206F">
        <w:rPr>
          <w:rFonts w:cs="Arial"/>
          <w:noProof/>
        </w:rPr>
        <w:t>21</w:t>
      </w:r>
      <w:r w:rsidR="009C0F8A">
        <w:fldChar w:fldCharType="end"/>
      </w:r>
    </w:p>
    <w:p w14:paraId="64C6ADA5" w14:textId="4B0E7169" w:rsidR="00326EB1" w:rsidRDefault="00127901" w:rsidP="00F94015">
      <w:pPr>
        <w:pStyle w:val="BodyText"/>
        <w:numPr>
          <w:ilvl w:val="1"/>
          <w:numId w:val="48"/>
        </w:numPr>
        <w:spacing w:after="0"/>
      </w:pPr>
      <w:r>
        <w:t xml:space="preserve">2 </w:t>
      </w:r>
      <w:r w:rsidR="00ED7B26">
        <w:t>pico</w:t>
      </w:r>
      <w:r w:rsidR="00FF77A1">
        <w:t xml:space="preserve"> </w:t>
      </w:r>
      <w:r>
        <w:t xml:space="preserve">BS randomly located per hexagon </w:t>
      </w:r>
      <w:r w:rsidR="00FF77A1">
        <w:t>(</w:t>
      </w:r>
      <w:r w:rsidR="00543460">
        <w:t xml:space="preserve">for </w:t>
      </w:r>
      <w:r w:rsidR="00FF77A1">
        <w:t xml:space="preserve">high band, i.e., </w:t>
      </w:r>
      <w:r>
        <w:t>52.6 – 71 GHz</w:t>
      </w:r>
      <w:r w:rsidR="00FF77A1">
        <w:t>)</w:t>
      </w:r>
    </w:p>
    <w:p w14:paraId="608CF463" w14:textId="1EBAFF9E" w:rsidR="00FF77A1" w:rsidRDefault="00DF7D25" w:rsidP="00F94015">
      <w:pPr>
        <w:pStyle w:val="BodyText"/>
        <w:numPr>
          <w:ilvl w:val="2"/>
          <w:numId w:val="48"/>
        </w:numPr>
        <w:spacing w:after="0"/>
      </w:pPr>
      <w:r>
        <w:t xml:space="preserve">42 </w:t>
      </w:r>
      <w:r w:rsidR="00ED7B26">
        <w:t>pico</w:t>
      </w:r>
      <w:r w:rsidR="00FF77A1">
        <w:t xml:space="preserve"> BS shown with </w:t>
      </w:r>
      <w:r w:rsidR="00FF77A1" w:rsidRPr="00F94015">
        <w:rPr>
          <w:color w:val="FF0000"/>
        </w:rPr>
        <w:t xml:space="preserve">red </w:t>
      </w:r>
      <w:r w:rsidR="00FF77A1">
        <w:t>squares</w:t>
      </w:r>
      <w:r w:rsidR="009C0F8A">
        <w:t xml:space="preserve"> in </w:t>
      </w:r>
      <w:r w:rsidR="009C0F8A">
        <w:fldChar w:fldCharType="begin"/>
      </w:r>
      <w:r w:rsidR="009C0F8A">
        <w:instrText xml:space="preserve"> REF _Ref47446519 \h </w:instrText>
      </w:r>
      <w:r w:rsidR="009C0F8A">
        <w:fldChar w:fldCharType="separate"/>
      </w:r>
      <w:r w:rsidR="00CF206F" w:rsidRPr="00CB4467">
        <w:rPr>
          <w:rFonts w:cs="Arial"/>
        </w:rPr>
        <w:t xml:space="preserve">Figure </w:t>
      </w:r>
      <w:r w:rsidR="00CF206F">
        <w:rPr>
          <w:rFonts w:cs="Arial"/>
          <w:noProof/>
        </w:rPr>
        <w:t>21</w:t>
      </w:r>
      <w:r w:rsidR="009C0F8A">
        <w:fldChar w:fldCharType="end"/>
      </w:r>
    </w:p>
    <w:p w14:paraId="577434E1" w14:textId="3C689462" w:rsidR="003134A3" w:rsidRDefault="1FCD65F1">
      <w:pPr>
        <w:pStyle w:val="BodyText"/>
        <w:keepNext/>
        <w:jc w:val="center"/>
      </w:pPr>
      <w:r>
        <w:rPr>
          <w:noProof/>
        </w:rPr>
        <w:lastRenderedPageBreak/>
        <w:drawing>
          <wp:inline distT="0" distB="0" distL="0" distR="0" wp14:anchorId="228D8BF6" wp14:editId="5854BA15">
            <wp:extent cx="3657600" cy="3191256"/>
            <wp:effectExtent l="0" t="0" r="0" b="0"/>
            <wp:docPr id="17969666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724FAB4F-A688-4E00-89A8-EC3D6CC0B66C}"/>
                        </a:ext>
                      </a:extLst>
                    </a:blip>
                    <a:stretch>
                      <a:fillRect/>
                    </a:stretch>
                  </pic:blipFill>
                  <pic:spPr>
                    <a:xfrm>
                      <a:off x="0" y="0"/>
                      <a:ext cx="3657600" cy="3191256"/>
                    </a:xfrm>
                    <a:prstGeom prst="rect">
                      <a:avLst/>
                    </a:prstGeom>
                  </pic:spPr>
                </pic:pic>
              </a:graphicData>
            </a:graphic>
          </wp:inline>
        </w:drawing>
      </w:r>
    </w:p>
    <w:p w14:paraId="57DBC76D" w14:textId="7667225E" w:rsidR="003134A3" w:rsidRPr="00CB4467" w:rsidRDefault="003134A3" w:rsidP="00F94015">
      <w:pPr>
        <w:pStyle w:val="Caption"/>
        <w:jc w:val="center"/>
        <w:rPr>
          <w:rFonts w:cs="Arial"/>
        </w:rPr>
      </w:pPr>
      <w:bookmarkStart w:id="100" w:name="_Ref47446519"/>
      <w:r w:rsidRPr="00CB4467">
        <w:rPr>
          <w:rFonts w:ascii="Arial" w:hAnsi="Arial" w:cs="Arial"/>
        </w:rPr>
        <w:t xml:space="preserve">Figure </w:t>
      </w:r>
      <w:r w:rsidRPr="00CB4467">
        <w:rPr>
          <w:rFonts w:ascii="Arial" w:hAnsi="Arial" w:cs="Arial"/>
        </w:rPr>
        <w:fldChar w:fldCharType="begin"/>
      </w:r>
      <w:r w:rsidRPr="00CB4467">
        <w:rPr>
          <w:rFonts w:ascii="Arial" w:hAnsi="Arial" w:cs="Arial"/>
        </w:rPr>
        <w:instrText xml:space="preserve"> SEQ Figure \* ARABIC </w:instrText>
      </w:r>
      <w:r w:rsidRPr="00CB4467">
        <w:rPr>
          <w:rFonts w:ascii="Arial" w:hAnsi="Arial" w:cs="Arial"/>
        </w:rPr>
        <w:fldChar w:fldCharType="separate"/>
      </w:r>
      <w:r w:rsidR="00CF206F">
        <w:rPr>
          <w:rFonts w:ascii="Arial" w:hAnsi="Arial" w:cs="Arial"/>
          <w:noProof/>
        </w:rPr>
        <w:t>21</w:t>
      </w:r>
      <w:r w:rsidRPr="00CB4467">
        <w:rPr>
          <w:rFonts w:ascii="Arial" w:hAnsi="Arial" w:cs="Arial"/>
        </w:rPr>
        <w:fldChar w:fldCharType="end"/>
      </w:r>
      <w:bookmarkEnd w:id="100"/>
      <w:r w:rsidRPr="00CB4467">
        <w:rPr>
          <w:rFonts w:ascii="Arial" w:hAnsi="Arial" w:cs="Arial"/>
        </w:rPr>
        <w:t>: Scenario B, 7 sites, ISD = 100 m</w:t>
      </w:r>
    </w:p>
    <w:p w14:paraId="2B1C156B" w14:textId="5EC078B2" w:rsidR="002659AD" w:rsidRDefault="00326EB1" w:rsidP="002E600B">
      <w:pPr>
        <w:pStyle w:val="BodyText"/>
      </w:pPr>
      <w:r>
        <w:t>While both scenarios are classified as "dense urban," clearly Scenario B has a higher site density than Scenario A</w:t>
      </w:r>
      <w:r w:rsidR="00DF7D25">
        <w:t xml:space="preserve"> (42 sites vs. 7)</w:t>
      </w:r>
      <w:r>
        <w:t xml:space="preserve">. Using the agreed system level evaluation settings, we have found that the probability that any given user experiences line-of-sight (LOS) propagation conditions </w:t>
      </w:r>
      <w:r w:rsidR="009C0F8A">
        <w:t xml:space="preserve">on its serving link </w:t>
      </w:r>
      <w:r>
        <w:t xml:space="preserve">is extremely high for Scenario B </w:t>
      </w:r>
      <w:r w:rsidR="009C0F8A">
        <w:t>(~99%)</w:t>
      </w:r>
      <w:r>
        <w:t xml:space="preserve">. The reason for the high LOS probability is that due to the dense deployment, </w:t>
      </w:r>
      <w:r w:rsidR="002659AD">
        <w:t xml:space="preserve">the UE-to-gNB distance for a given candidate link is relatively small, leading to a relatively high LOS probability </w:t>
      </w:r>
      <w:r w:rsidR="002659AD" w:rsidRPr="00413A1F">
        <w:rPr>
          <w:i/>
        </w:rPr>
        <w:t>p</w:t>
      </w:r>
      <w:r w:rsidR="002659AD">
        <w:t xml:space="preserve"> for that link. Moreover, the UE has several gNBs from which to choose from in its cell selection process. Since the LOS probability is roughly independent for each candidate link, the overall probability that the chosen serving link is LOS can be much larger than </w:t>
      </w:r>
      <w:r w:rsidR="002659AD" w:rsidRPr="00413A1F">
        <w:rPr>
          <w:i/>
        </w:rPr>
        <w:t>p</w:t>
      </w:r>
      <w:r w:rsidR="002659AD">
        <w:t>.</w:t>
      </w:r>
    </w:p>
    <w:p w14:paraId="3046098B" w14:textId="55ADD031" w:rsidR="003A6F1B" w:rsidRDefault="00413A1F" w:rsidP="002E600B">
      <w:pPr>
        <w:pStyle w:val="BodyText"/>
      </w:pPr>
      <w:r>
        <w:t>While</w:t>
      </w:r>
      <w:r w:rsidR="007939C1">
        <w:t xml:space="preserve"> it is understandable that Scenario B shows such a high LOS </w:t>
      </w:r>
      <w:r w:rsidR="003222D1">
        <w:t>probability</w:t>
      </w:r>
      <w:r w:rsidR="007939C1">
        <w:t xml:space="preserve">, </w:t>
      </w:r>
      <w:r>
        <w:t xml:space="preserve">it is important to recognize that </w:t>
      </w:r>
      <w:r w:rsidR="007939C1">
        <w:t xml:space="preserve">this is only one potential deployment amongst </w:t>
      </w:r>
      <w:r w:rsidR="00543460">
        <w:t xml:space="preserve">a </w:t>
      </w:r>
      <w:r w:rsidR="007939C1">
        <w:t>many</w:t>
      </w:r>
      <w:r w:rsidR="00543460">
        <w:t>. It is important to consider deployments with a range of site densities leading to lower LOS probabilities.</w:t>
      </w:r>
      <w:r w:rsidR="003222D1">
        <w:t xml:space="preserve"> We </w:t>
      </w:r>
      <w:r w:rsidR="009C0F8A">
        <w:t>observe</w:t>
      </w:r>
      <w:r w:rsidR="003222D1">
        <w:t xml:space="preserve"> that there is a</w:t>
      </w:r>
      <w:r w:rsidR="009C0F8A">
        <w:t>n</w:t>
      </w:r>
      <w:r w:rsidR="003222D1">
        <w:t xml:space="preserve"> inverse correlation of the RMS delay spread with the LOS probability. Since the RMS delay spread is such an important parameter used to select a suitable SCS for 60 GHz operations, it is important to investigate what values can be expected from deployments that have a less extreme</w:t>
      </w:r>
      <w:r w:rsidR="003A6F1B">
        <w:t xml:space="preserve"> values of</w:t>
      </w:r>
      <w:r w:rsidR="003222D1">
        <w:t xml:space="preserve"> LOS probability</w:t>
      </w:r>
      <w:r w:rsidR="00543460">
        <w:t xml:space="preserve"> than Scenario B</w:t>
      </w:r>
      <w:r w:rsidR="003222D1">
        <w:t>.</w:t>
      </w:r>
    </w:p>
    <w:p w14:paraId="42B9397F" w14:textId="77777777" w:rsidR="00A25C40" w:rsidRDefault="00A25C40" w:rsidP="002E600B">
      <w:pPr>
        <w:pStyle w:val="BodyText"/>
      </w:pPr>
    </w:p>
    <w:p w14:paraId="09FD41B0" w14:textId="53778FC7" w:rsidR="009C0F8A" w:rsidRDefault="009C0F8A" w:rsidP="009C0F8A">
      <w:pPr>
        <w:pStyle w:val="Observation"/>
      </w:pPr>
      <w:bookmarkStart w:id="101" w:name="_Toc47712022"/>
      <w:r>
        <w:t xml:space="preserve">RMS delay spread is inversely </w:t>
      </w:r>
      <w:r w:rsidR="00543460">
        <w:t>proportional</w:t>
      </w:r>
      <w:r>
        <w:t xml:space="preserve"> to LOS probability, i.e., </w:t>
      </w:r>
      <w:r w:rsidR="00543460">
        <w:t>lower</w:t>
      </w:r>
      <w:r>
        <w:t xml:space="preserve"> LOS probabili</w:t>
      </w:r>
      <w:r w:rsidR="00543460">
        <w:t>ties</w:t>
      </w:r>
      <w:r>
        <w:t xml:space="preserve"> translate to </w:t>
      </w:r>
      <w:r w:rsidR="00543460">
        <w:t>larger</w:t>
      </w:r>
      <w:r>
        <w:t xml:space="preserve"> RMS delay spreads</w:t>
      </w:r>
      <w:r w:rsidR="00543460">
        <w:t>.</w:t>
      </w:r>
      <w:bookmarkEnd w:id="101"/>
    </w:p>
    <w:p w14:paraId="00531116" w14:textId="77777777" w:rsidR="00A25C40" w:rsidRDefault="00A25C40" w:rsidP="002E600B">
      <w:pPr>
        <w:pStyle w:val="BodyText"/>
      </w:pPr>
    </w:p>
    <w:p w14:paraId="06392EC2" w14:textId="1E23D53F" w:rsidR="002659AD" w:rsidRDefault="003A6F1B" w:rsidP="002E600B">
      <w:pPr>
        <w:pStyle w:val="BodyText"/>
      </w:pPr>
      <w:r>
        <w:t xml:space="preserve">To investigate this, </w:t>
      </w:r>
      <w:r w:rsidR="003222D1">
        <w:fldChar w:fldCharType="begin"/>
      </w:r>
      <w:r w:rsidR="003222D1">
        <w:instrText xml:space="preserve"> REF _Ref47371861 \h </w:instrText>
      </w:r>
      <w:r w:rsidR="003222D1">
        <w:fldChar w:fldCharType="separate"/>
      </w:r>
      <w:r w:rsidR="00CF206F" w:rsidRPr="00CB4467">
        <w:rPr>
          <w:rFonts w:cs="Arial"/>
        </w:rPr>
        <w:t xml:space="preserve">Figure </w:t>
      </w:r>
      <w:r w:rsidR="00CF206F">
        <w:rPr>
          <w:noProof/>
        </w:rPr>
        <w:t>22</w:t>
      </w:r>
      <w:r w:rsidR="003222D1">
        <w:fldChar w:fldCharType="end"/>
      </w:r>
      <w:r w:rsidR="003222D1">
        <w:t xml:space="preserve"> shows the CDF of RMS delay spread obtained from system simulation for several different deployments</w:t>
      </w:r>
      <w:r w:rsidR="00543460">
        <w:t xml:space="preserve"> with different site densities</w:t>
      </w:r>
      <w:r w:rsidR="003222D1">
        <w:t xml:space="preserve">: Scenario B with </w:t>
      </w:r>
      <w:r w:rsidR="00351615">
        <w:t xml:space="preserve">42 pico sites and </w:t>
      </w:r>
      <w:r w:rsidR="003222D1">
        <w:t>100 m ISD, Scenario A with</w:t>
      </w:r>
      <w:r w:rsidR="00351615">
        <w:t xml:space="preserve"> 7 micro sites and</w:t>
      </w:r>
      <w:r w:rsidR="003222D1">
        <w:t xml:space="preserve"> 100</w:t>
      </w:r>
      <w:r w:rsidR="00351615">
        <w:t>/</w:t>
      </w:r>
      <w:r w:rsidR="003222D1">
        <w:t xml:space="preserve">150 m ISD, and Scenario A with only a single </w:t>
      </w:r>
      <w:r w:rsidR="00351615">
        <w:t xml:space="preserve">micro </w:t>
      </w:r>
      <w:r w:rsidR="003222D1">
        <w:t>site</w:t>
      </w:r>
      <w:r w:rsidR="00351615">
        <w:t xml:space="preserve"> (ISD = 100 m)</w:t>
      </w:r>
      <w:r w:rsidR="003222D1">
        <w:t xml:space="preserve">. The </w:t>
      </w:r>
      <w:r w:rsidR="00413A1F">
        <w:t>single site example is representative, for example, of an initial deployment with a relatively sparse site placement</w:t>
      </w:r>
      <w:r w:rsidR="00543460">
        <w:t xml:space="preserve"> </w:t>
      </w:r>
      <w:r w:rsidR="009C0F8A">
        <w:t>where there is little inter-cell interference, i.e., isolated cells</w:t>
      </w:r>
      <w:r w:rsidR="00413A1F">
        <w:t>.</w:t>
      </w:r>
      <w:r w:rsidR="00351615">
        <w:t xml:space="preserve"> UEs with both dual antenna panel and single antenna panel are considered. The later is applicable, for example, for a simple/low cost UE architecture and/or for a dual panel when one of the panels is blocked by a hand, body, or other object in the vicinity.</w:t>
      </w:r>
      <w:r w:rsidR="003222D1">
        <w:t xml:space="preserve">The </w:t>
      </w:r>
      <w:r w:rsidR="003134A3">
        <w:t>CDF</w:t>
      </w:r>
      <w:r w:rsidR="00413A1F">
        <w:t>s</w:t>
      </w:r>
      <w:r w:rsidR="003134A3">
        <w:t xml:space="preserve"> </w:t>
      </w:r>
      <w:r w:rsidR="00543460">
        <w:t xml:space="preserve">in </w:t>
      </w:r>
      <w:r w:rsidR="00543460">
        <w:fldChar w:fldCharType="begin"/>
      </w:r>
      <w:r w:rsidR="00543460">
        <w:instrText xml:space="preserve"> REF _Ref47371861 \h </w:instrText>
      </w:r>
      <w:r w:rsidR="00543460">
        <w:fldChar w:fldCharType="separate"/>
      </w:r>
      <w:r w:rsidR="00CF206F" w:rsidRPr="00CB4467">
        <w:rPr>
          <w:rFonts w:cs="Arial"/>
        </w:rPr>
        <w:t xml:space="preserve">Figure </w:t>
      </w:r>
      <w:r w:rsidR="00CF206F">
        <w:rPr>
          <w:noProof/>
        </w:rPr>
        <w:t>22</w:t>
      </w:r>
      <w:r w:rsidR="00543460">
        <w:fldChar w:fldCharType="end"/>
      </w:r>
      <w:r w:rsidR="00543460">
        <w:t xml:space="preserve"> </w:t>
      </w:r>
      <w:r w:rsidR="00413A1F">
        <w:t>are</w:t>
      </w:r>
      <w:r w:rsidR="003134A3">
        <w:t xml:space="preserve"> generated considering all drops of all users in all cells of the system. </w:t>
      </w:r>
      <w:r w:rsidR="003134A3">
        <w:fldChar w:fldCharType="begin"/>
      </w:r>
      <w:r w:rsidR="003134A3">
        <w:instrText xml:space="preserve"> REF _Ref47373236 \h </w:instrText>
      </w:r>
      <w:r w:rsidR="003134A3">
        <w:fldChar w:fldCharType="separate"/>
      </w:r>
      <w:r w:rsidR="00CF206F" w:rsidRPr="00CB4467">
        <w:rPr>
          <w:rFonts w:cs="Arial"/>
        </w:rPr>
        <w:t xml:space="preserve">Table </w:t>
      </w:r>
      <w:r w:rsidR="00CF206F">
        <w:rPr>
          <w:rFonts w:cs="Arial"/>
          <w:noProof/>
        </w:rPr>
        <w:t>1</w:t>
      </w:r>
      <w:r w:rsidR="003134A3">
        <w:fldChar w:fldCharType="end"/>
      </w:r>
      <w:r w:rsidR="003134A3">
        <w:t xml:space="preserve"> lists the corresponding LOS probability for the serving link and the median/90</w:t>
      </w:r>
      <w:r w:rsidR="003134A3" w:rsidRPr="00F94015">
        <w:rPr>
          <w:vertAlign w:val="superscript"/>
        </w:rPr>
        <w:t>th</w:t>
      </w:r>
      <w:r w:rsidR="003134A3">
        <w:t xml:space="preserve"> percentile RMS delay spreads from </w:t>
      </w:r>
      <w:r w:rsidR="003134A3">
        <w:fldChar w:fldCharType="begin"/>
      </w:r>
      <w:r w:rsidR="003134A3">
        <w:instrText xml:space="preserve"> REF _Ref47371861 \h </w:instrText>
      </w:r>
      <w:r w:rsidR="003134A3">
        <w:fldChar w:fldCharType="separate"/>
      </w:r>
      <w:r w:rsidR="00CF206F" w:rsidRPr="00CB4467">
        <w:rPr>
          <w:rFonts w:cs="Arial"/>
        </w:rPr>
        <w:t xml:space="preserve">Figure </w:t>
      </w:r>
      <w:r w:rsidR="00CF206F">
        <w:rPr>
          <w:noProof/>
        </w:rPr>
        <w:t>22</w:t>
      </w:r>
      <w:r w:rsidR="003134A3">
        <w:fldChar w:fldCharType="end"/>
      </w:r>
      <w:r w:rsidR="003134A3">
        <w:t>.</w:t>
      </w:r>
      <w:r w:rsidR="00543460">
        <w:t xml:space="preserve"> The scenarios in the table are listed in order of decreasing site density.</w:t>
      </w:r>
    </w:p>
    <w:p w14:paraId="0CFCEE29" w14:textId="022AFC2E" w:rsidR="002659AD" w:rsidRDefault="001F383F" w:rsidP="00F94015">
      <w:pPr>
        <w:pStyle w:val="BodyText"/>
        <w:keepNext/>
        <w:jc w:val="center"/>
      </w:pPr>
      <w:r>
        <w:rPr>
          <w:noProof/>
        </w:rPr>
        <w:lastRenderedPageBreak/>
        <w:drawing>
          <wp:inline distT="0" distB="0" distL="0" distR="0" wp14:anchorId="0FB42023" wp14:editId="2AD207D8">
            <wp:extent cx="4572000" cy="3429000"/>
            <wp:effectExtent l="0" t="0" r="0" b="0"/>
            <wp:docPr id="217739584" name="Picture 217739584"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39584" name="cdf_ds.png"/>
                    <pic:cNvPicPr/>
                  </pic:nvPicPr>
                  <pic:blipFill>
                    <a:blip r:embed="rId37">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1C0842E" w14:textId="1BF8530D" w:rsidR="002659AD" w:rsidRPr="00CB4467" w:rsidRDefault="002659AD" w:rsidP="00B40884">
      <w:pPr>
        <w:pStyle w:val="Caption"/>
        <w:jc w:val="both"/>
        <w:rPr>
          <w:rFonts w:cs="Arial"/>
        </w:rPr>
      </w:pPr>
      <w:bookmarkStart w:id="102" w:name="_Ref47371861"/>
      <w:r w:rsidRPr="00CB4467">
        <w:rPr>
          <w:rFonts w:ascii="Arial" w:hAnsi="Arial" w:cs="Arial"/>
        </w:rPr>
        <w:t xml:space="preserve">Figure </w:t>
      </w:r>
      <w:r w:rsidRPr="00CB4467">
        <w:rPr>
          <w:rFonts w:ascii="Arial" w:hAnsi="Arial" w:cs="Arial"/>
        </w:rPr>
        <w:fldChar w:fldCharType="begin"/>
      </w:r>
      <w:r>
        <w:instrText xml:space="preserve"> SEQ Figure \* ARABIC </w:instrText>
      </w:r>
      <w:r w:rsidRPr="00CB4467">
        <w:rPr>
          <w:rFonts w:ascii="Arial" w:hAnsi="Arial" w:cs="Arial"/>
        </w:rPr>
        <w:fldChar w:fldCharType="separate"/>
      </w:r>
      <w:r w:rsidR="00CF206F">
        <w:rPr>
          <w:noProof/>
        </w:rPr>
        <w:t>22</w:t>
      </w:r>
      <w:r w:rsidRPr="00CB4467">
        <w:rPr>
          <w:rFonts w:ascii="Arial" w:hAnsi="Arial" w:cs="Arial"/>
        </w:rPr>
        <w:fldChar w:fldCharType="end"/>
      </w:r>
      <w:bookmarkEnd w:id="102"/>
      <w:r w:rsidRPr="00CB4467">
        <w:rPr>
          <w:rFonts w:ascii="Arial" w:hAnsi="Arial" w:cs="Arial"/>
        </w:rPr>
        <w:t xml:space="preserve">: </w:t>
      </w:r>
      <w:r w:rsidR="009630A8" w:rsidRPr="00CB4467">
        <w:rPr>
          <w:rFonts w:ascii="Arial" w:hAnsi="Arial" w:cs="Arial"/>
        </w:rPr>
        <w:t>CDF of</w:t>
      </w:r>
      <w:r w:rsidR="007939C1" w:rsidRPr="00CB4467">
        <w:rPr>
          <w:rFonts w:ascii="Arial" w:hAnsi="Arial" w:cs="Arial"/>
        </w:rPr>
        <w:t xml:space="preserve"> post-beamforming</w:t>
      </w:r>
      <w:r w:rsidR="009630A8" w:rsidRPr="00CB4467">
        <w:rPr>
          <w:rFonts w:ascii="Arial" w:hAnsi="Arial" w:cs="Arial"/>
        </w:rPr>
        <w:t xml:space="preserve"> </w:t>
      </w:r>
      <w:r w:rsidRPr="00CB4467">
        <w:rPr>
          <w:rFonts w:ascii="Arial" w:hAnsi="Arial" w:cs="Arial"/>
        </w:rPr>
        <w:t xml:space="preserve">RMS delay spread </w:t>
      </w:r>
      <w:r w:rsidR="007C4B83" w:rsidRPr="00CB4467">
        <w:rPr>
          <w:rFonts w:ascii="Arial" w:hAnsi="Arial" w:cs="Arial"/>
        </w:rPr>
        <w:t xml:space="preserve">based on system level evaluation assumptions </w:t>
      </w:r>
      <w:r w:rsidR="007939C1" w:rsidRPr="00CB4467">
        <w:rPr>
          <w:rFonts w:ascii="Arial" w:hAnsi="Arial" w:cs="Arial"/>
        </w:rPr>
        <w:t>for different deployment</w:t>
      </w:r>
      <w:r w:rsidR="007C4B83" w:rsidRPr="00CB4467">
        <w:rPr>
          <w:rFonts w:ascii="Arial" w:hAnsi="Arial" w:cs="Arial"/>
        </w:rPr>
        <w:t xml:space="preserve"> scenarios. The antenna array sizes are</w:t>
      </w:r>
      <w:r w:rsidR="007939C1" w:rsidRPr="00CB4467">
        <w:rPr>
          <w:rFonts w:ascii="Arial" w:hAnsi="Arial" w:cs="Arial"/>
        </w:rPr>
        <w:t xml:space="preserve"> </w:t>
      </w:r>
      <w:r w:rsidRPr="00CB4467">
        <w:rPr>
          <w:rFonts w:ascii="Arial" w:hAnsi="Arial" w:cs="Arial"/>
        </w:rPr>
        <w:t>4x8</w:t>
      </w:r>
      <w:r w:rsidR="007C4B83" w:rsidRPr="00CB4467">
        <w:rPr>
          <w:rFonts w:ascii="Arial" w:hAnsi="Arial" w:cs="Arial"/>
        </w:rPr>
        <w:t xml:space="preserve"> at the</w:t>
      </w:r>
      <w:r w:rsidRPr="00CB4467">
        <w:rPr>
          <w:rFonts w:ascii="Arial" w:hAnsi="Arial" w:cs="Arial"/>
        </w:rPr>
        <w:t xml:space="preserve"> gNB and 2x2</w:t>
      </w:r>
      <w:r w:rsidR="007C4B83" w:rsidRPr="00CB4467">
        <w:rPr>
          <w:rFonts w:ascii="Arial" w:hAnsi="Arial" w:cs="Arial"/>
        </w:rPr>
        <w:t xml:space="preserve"> at the UE</w:t>
      </w:r>
      <w:r w:rsidR="009C0F8A" w:rsidRPr="00CB4467">
        <w:rPr>
          <w:rFonts w:ascii="Arial" w:hAnsi="Arial" w:cs="Arial"/>
        </w:rPr>
        <w:t xml:space="preserve">. </w:t>
      </w:r>
      <w:r w:rsidR="00351615">
        <w:rPr>
          <w:rFonts w:ascii="Arial" w:hAnsi="Arial" w:cs="Arial"/>
        </w:rPr>
        <w:t>Solid  (-) lines: Dual panel UE; Dashed lines (--): Single panel UE.</w:t>
      </w:r>
    </w:p>
    <w:p w14:paraId="062A4253" w14:textId="77777777" w:rsidR="00326EB1" w:rsidRPr="00CB4467" w:rsidRDefault="00326EB1" w:rsidP="002E600B">
      <w:pPr>
        <w:pStyle w:val="BodyText"/>
        <w:rPr>
          <w:rFonts w:cs="Arial"/>
        </w:rPr>
      </w:pPr>
    </w:p>
    <w:p w14:paraId="27A0FB74" w14:textId="1C9EF9E6" w:rsidR="003134A3" w:rsidRPr="00CB4467" w:rsidRDefault="003134A3" w:rsidP="003134A3">
      <w:pPr>
        <w:pStyle w:val="Caption"/>
        <w:keepNext/>
        <w:jc w:val="center"/>
        <w:rPr>
          <w:rFonts w:ascii="Arial" w:hAnsi="Arial" w:cs="Arial"/>
        </w:rPr>
      </w:pPr>
      <w:bookmarkStart w:id="103" w:name="_Ref47373236"/>
      <w:r w:rsidRPr="00CB4467">
        <w:rPr>
          <w:rFonts w:ascii="Arial" w:hAnsi="Arial" w:cs="Arial"/>
        </w:rPr>
        <w:t xml:space="preserve">Table </w:t>
      </w:r>
      <w:r w:rsidRPr="00CB4467">
        <w:rPr>
          <w:rFonts w:ascii="Arial" w:hAnsi="Arial" w:cs="Arial"/>
        </w:rPr>
        <w:fldChar w:fldCharType="begin"/>
      </w:r>
      <w:r w:rsidRPr="00CB4467">
        <w:rPr>
          <w:rFonts w:ascii="Arial" w:hAnsi="Arial" w:cs="Arial"/>
        </w:rPr>
        <w:instrText xml:space="preserve"> SEQ Table \* ARABIC </w:instrText>
      </w:r>
      <w:r w:rsidRPr="00CB4467">
        <w:rPr>
          <w:rFonts w:ascii="Arial" w:hAnsi="Arial" w:cs="Arial"/>
        </w:rPr>
        <w:fldChar w:fldCharType="separate"/>
      </w:r>
      <w:r w:rsidR="00CF206F">
        <w:rPr>
          <w:rFonts w:ascii="Arial" w:hAnsi="Arial" w:cs="Arial"/>
          <w:noProof/>
        </w:rPr>
        <w:t>1</w:t>
      </w:r>
      <w:r w:rsidRPr="00CB4467">
        <w:rPr>
          <w:rFonts w:ascii="Arial" w:hAnsi="Arial" w:cs="Arial"/>
        </w:rPr>
        <w:fldChar w:fldCharType="end"/>
      </w:r>
      <w:bookmarkEnd w:id="103"/>
      <w:r w:rsidRPr="00CB4467">
        <w:rPr>
          <w:rFonts w:ascii="Arial" w:hAnsi="Arial" w:cs="Arial"/>
        </w:rPr>
        <w:t>: LOS probability and RMS delay spread for several different outdoor deployments</w:t>
      </w:r>
      <w:r w:rsidR="00543460" w:rsidRPr="00CB4467">
        <w:rPr>
          <w:rFonts w:ascii="Arial" w:hAnsi="Arial" w:cs="Arial"/>
        </w:rPr>
        <w:t xml:space="preserve"> in order of decreasing site density.</w:t>
      </w:r>
      <w:r w:rsidR="001F383F">
        <w:rPr>
          <w:rFonts w:ascii="Arial" w:hAnsi="Arial" w:cs="Arial"/>
        </w:rPr>
        <w:t xml:space="preserve"> Results for both dual panel and single panel UEs are tabulated.</w:t>
      </w:r>
    </w:p>
    <w:tbl>
      <w:tblPr>
        <w:tblStyle w:val="TableGrid"/>
        <w:tblW w:w="8905" w:type="dxa"/>
        <w:jc w:val="center"/>
        <w:tblLook w:val="04A0" w:firstRow="1" w:lastRow="0" w:firstColumn="1" w:lastColumn="0" w:noHBand="0" w:noVBand="1"/>
      </w:tblPr>
      <w:tblGrid>
        <w:gridCol w:w="1345"/>
        <w:gridCol w:w="1170"/>
        <w:gridCol w:w="1350"/>
        <w:gridCol w:w="1170"/>
        <w:gridCol w:w="1350"/>
        <w:gridCol w:w="1170"/>
        <w:gridCol w:w="1350"/>
      </w:tblGrid>
      <w:tr w:rsidR="001F383F" w14:paraId="70DC95D0" w14:textId="360D71D8" w:rsidTr="00F94015">
        <w:trPr>
          <w:jc w:val="center"/>
        </w:trPr>
        <w:tc>
          <w:tcPr>
            <w:tcW w:w="1345" w:type="dxa"/>
            <w:vMerge w:val="restart"/>
          </w:tcPr>
          <w:p w14:paraId="65DB66B5" w14:textId="77777777" w:rsidR="001F383F" w:rsidRPr="00F94015" w:rsidRDefault="001F383F" w:rsidP="0038795A">
            <w:pPr>
              <w:pStyle w:val="BodyText"/>
              <w:spacing w:after="0"/>
              <w:jc w:val="center"/>
              <w:rPr>
                <w:b/>
                <w:bCs/>
                <w:sz w:val="18"/>
                <w:szCs w:val="18"/>
              </w:rPr>
            </w:pPr>
            <w:r w:rsidRPr="00F94015">
              <w:rPr>
                <w:b/>
                <w:bCs/>
                <w:sz w:val="18"/>
                <w:szCs w:val="18"/>
              </w:rPr>
              <w:t>Scenario</w:t>
            </w:r>
          </w:p>
        </w:tc>
        <w:tc>
          <w:tcPr>
            <w:tcW w:w="2520" w:type="dxa"/>
            <w:gridSpan w:val="2"/>
          </w:tcPr>
          <w:p w14:paraId="130605DD" w14:textId="77777777" w:rsidR="001F383F" w:rsidRPr="00F94015" w:rsidRDefault="001F383F" w:rsidP="003A6F1B">
            <w:pPr>
              <w:pStyle w:val="BodyText"/>
              <w:spacing w:after="0"/>
              <w:jc w:val="center"/>
              <w:rPr>
                <w:b/>
                <w:bCs/>
                <w:sz w:val="18"/>
                <w:szCs w:val="18"/>
              </w:rPr>
            </w:pPr>
            <w:r w:rsidRPr="00F94015">
              <w:rPr>
                <w:b/>
                <w:bCs/>
                <w:sz w:val="18"/>
                <w:szCs w:val="18"/>
              </w:rPr>
              <w:t>LOS Probability</w:t>
            </w:r>
          </w:p>
          <w:p w14:paraId="38F842D6" w14:textId="7EC3ED0C" w:rsidR="001F383F" w:rsidRPr="00227A6A" w:rsidRDefault="001F383F" w:rsidP="003A6F1B">
            <w:pPr>
              <w:pStyle w:val="BodyText"/>
              <w:spacing w:after="0"/>
              <w:jc w:val="center"/>
              <w:rPr>
                <w:b/>
                <w:sz w:val="18"/>
                <w:szCs w:val="18"/>
              </w:rPr>
            </w:pPr>
            <w:r w:rsidRPr="00F94015">
              <w:rPr>
                <w:b/>
                <w:bCs/>
                <w:sz w:val="18"/>
                <w:szCs w:val="18"/>
              </w:rPr>
              <w:t>for Serving Link</w:t>
            </w:r>
          </w:p>
        </w:tc>
        <w:tc>
          <w:tcPr>
            <w:tcW w:w="2520" w:type="dxa"/>
            <w:gridSpan w:val="2"/>
          </w:tcPr>
          <w:p w14:paraId="63B8D845" w14:textId="29BC543C" w:rsidR="001F383F" w:rsidRPr="00F94015" w:rsidRDefault="001F383F" w:rsidP="003A6F1B">
            <w:pPr>
              <w:pStyle w:val="BodyText"/>
              <w:spacing w:after="0"/>
              <w:jc w:val="center"/>
              <w:rPr>
                <w:b/>
                <w:bCs/>
                <w:sz w:val="18"/>
                <w:szCs w:val="18"/>
              </w:rPr>
            </w:pPr>
            <w:r w:rsidRPr="00F94015">
              <w:rPr>
                <w:b/>
                <w:bCs/>
                <w:sz w:val="18"/>
                <w:szCs w:val="18"/>
              </w:rPr>
              <w:t>Median</w:t>
            </w:r>
          </w:p>
          <w:p w14:paraId="091BEC41" w14:textId="3567B4FF" w:rsidR="001F383F" w:rsidRPr="00227A6A" w:rsidRDefault="001F383F" w:rsidP="00774DE9">
            <w:pPr>
              <w:pStyle w:val="BodyText"/>
              <w:spacing w:after="0"/>
              <w:jc w:val="center"/>
              <w:rPr>
                <w:b/>
                <w:sz w:val="18"/>
                <w:szCs w:val="18"/>
              </w:rPr>
            </w:pPr>
            <w:r w:rsidRPr="00F94015">
              <w:rPr>
                <w:b/>
                <w:bCs/>
                <w:sz w:val="18"/>
                <w:szCs w:val="18"/>
              </w:rPr>
              <w:t>RMS Delay Spread (ns)</w:t>
            </w:r>
          </w:p>
        </w:tc>
        <w:tc>
          <w:tcPr>
            <w:tcW w:w="2520" w:type="dxa"/>
            <w:gridSpan w:val="2"/>
          </w:tcPr>
          <w:p w14:paraId="75DE4F6C" w14:textId="77777777" w:rsidR="001F383F" w:rsidRPr="00F94015" w:rsidRDefault="001F383F" w:rsidP="003A6F1B">
            <w:pPr>
              <w:pStyle w:val="BodyText"/>
              <w:spacing w:after="0"/>
              <w:jc w:val="center"/>
              <w:rPr>
                <w:b/>
                <w:bCs/>
                <w:sz w:val="18"/>
                <w:szCs w:val="18"/>
              </w:rPr>
            </w:pPr>
            <w:r w:rsidRPr="00F94015">
              <w:rPr>
                <w:b/>
                <w:bCs/>
                <w:sz w:val="18"/>
                <w:szCs w:val="18"/>
              </w:rPr>
              <w:t>90th Percentile</w:t>
            </w:r>
          </w:p>
          <w:p w14:paraId="3CD53679" w14:textId="255C62D6" w:rsidR="001F383F" w:rsidRPr="00227A6A" w:rsidRDefault="001F383F" w:rsidP="003A6F1B">
            <w:pPr>
              <w:pStyle w:val="BodyText"/>
              <w:spacing w:after="0"/>
              <w:jc w:val="center"/>
              <w:rPr>
                <w:b/>
                <w:sz w:val="18"/>
                <w:szCs w:val="18"/>
              </w:rPr>
            </w:pPr>
            <w:r w:rsidRPr="00F94015">
              <w:rPr>
                <w:b/>
                <w:bCs/>
                <w:sz w:val="18"/>
                <w:szCs w:val="18"/>
              </w:rPr>
              <w:t>RMS Delay Spread (ns)</w:t>
            </w:r>
          </w:p>
        </w:tc>
      </w:tr>
      <w:tr w:rsidR="001F383F" w14:paraId="5997E20B" w14:textId="77777777" w:rsidTr="00F94015">
        <w:trPr>
          <w:jc w:val="center"/>
        </w:trPr>
        <w:tc>
          <w:tcPr>
            <w:tcW w:w="1345" w:type="dxa"/>
            <w:vMerge/>
          </w:tcPr>
          <w:p w14:paraId="7F8C62F0" w14:textId="77777777" w:rsidR="001F383F" w:rsidRPr="00F94015" w:rsidRDefault="001F383F">
            <w:pPr>
              <w:pStyle w:val="BodyText"/>
              <w:spacing w:after="0"/>
              <w:jc w:val="center"/>
              <w:rPr>
                <w:b/>
                <w:bCs/>
                <w:sz w:val="18"/>
                <w:szCs w:val="18"/>
              </w:rPr>
            </w:pPr>
          </w:p>
        </w:tc>
        <w:tc>
          <w:tcPr>
            <w:tcW w:w="1170" w:type="dxa"/>
          </w:tcPr>
          <w:p w14:paraId="47BC8481" w14:textId="458CA1D7" w:rsidR="001F383F" w:rsidRPr="00F94015" w:rsidRDefault="001F383F" w:rsidP="003A6F1B">
            <w:pPr>
              <w:pStyle w:val="BodyText"/>
              <w:spacing w:after="0"/>
              <w:jc w:val="center"/>
              <w:rPr>
                <w:b/>
                <w:bCs/>
                <w:sz w:val="18"/>
                <w:szCs w:val="18"/>
              </w:rPr>
            </w:pPr>
            <w:r w:rsidRPr="00F94015">
              <w:rPr>
                <w:b/>
                <w:bCs/>
                <w:sz w:val="18"/>
                <w:szCs w:val="18"/>
              </w:rPr>
              <w:t>Dual Panel</w:t>
            </w:r>
          </w:p>
        </w:tc>
        <w:tc>
          <w:tcPr>
            <w:tcW w:w="1350" w:type="dxa"/>
          </w:tcPr>
          <w:p w14:paraId="0BDF3CA3" w14:textId="44C873C6" w:rsidR="001F383F" w:rsidRPr="00F94015" w:rsidRDefault="001F383F" w:rsidP="003A6F1B">
            <w:pPr>
              <w:pStyle w:val="BodyText"/>
              <w:spacing w:after="0"/>
              <w:jc w:val="center"/>
              <w:rPr>
                <w:b/>
                <w:bCs/>
                <w:sz w:val="18"/>
                <w:szCs w:val="18"/>
              </w:rPr>
            </w:pPr>
            <w:r w:rsidRPr="00F94015">
              <w:rPr>
                <w:b/>
                <w:bCs/>
                <w:sz w:val="18"/>
                <w:szCs w:val="18"/>
              </w:rPr>
              <w:t>Single Panel</w:t>
            </w:r>
          </w:p>
        </w:tc>
        <w:tc>
          <w:tcPr>
            <w:tcW w:w="1170" w:type="dxa"/>
          </w:tcPr>
          <w:p w14:paraId="26341152" w14:textId="624BAAAB" w:rsidR="001F383F" w:rsidRPr="00F94015" w:rsidRDefault="001F383F" w:rsidP="003A6F1B">
            <w:pPr>
              <w:pStyle w:val="BodyText"/>
              <w:spacing w:after="0"/>
              <w:jc w:val="center"/>
              <w:rPr>
                <w:b/>
                <w:bCs/>
                <w:sz w:val="18"/>
                <w:szCs w:val="18"/>
              </w:rPr>
            </w:pPr>
            <w:r w:rsidRPr="00F94015">
              <w:rPr>
                <w:b/>
                <w:bCs/>
                <w:sz w:val="18"/>
                <w:szCs w:val="18"/>
              </w:rPr>
              <w:t>Dual Panel</w:t>
            </w:r>
          </w:p>
        </w:tc>
        <w:tc>
          <w:tcPr>
            <w:tcW w:w="1350" w:type="dxa"/>
          </w:tcPr>
          <w:p w14:paraId="36894311" w14:textId="11BAD8E3" w:rsidR="001F383F" w:rsidRPr="00F94015" w:rsidRDefault="001F383F" w:rsidP="003A6F1B">
            <w:pPr>
              <w:pStyle w:val="BodyText"/>
              <w:spacing w:after="0"/>
              <w:jc w:val="center"/>
              <w:rPr>
                <w:b/>
                <w:bCs/>
                <w:sz w:val="18"/>
                <w:szCs w:val="18"/>
              </w:rPr>
            </w:pPr>
            <w:r w:rsidRPr="00F94015">
              <w:rPr>
                <w:b/>
                <w:bCs/>
                <w:sz w:val="18"/>
                <w:szCs w:val="18"/>
              </w:rPr>
              <w:t>Single Panel</w:t>
            </w:r>
          </w:p>
        </w:tc>
        <w:tc>
          <w:tcPr>
            <w:tcW w:w="1170" w:type="dxa"/>
          </w:tcPr>
          <w:p w14:paraId="4ADEB991" w14:textId="2FD001CA" w:rsidR="001F383F" w:rsidRPr="00F94015" w:rsidRDefault="001F383F" w:rsidP="003A6F1B">
            <w:pPr>
              <w:pStyle w:val="BodyText"/>
              <w:spacing w:after="0"/>
              <w:jc w:val="center"/>
              <w:rPr>
                <w:b/>
                <w:bCs/>
                <w:sz w:val="18"/>
                <w:szCs w:val="18"/>
              </w:rPr>
            </w:pPr>
            <w:r w:rsidRPr="00F94015">
              <w:rPr>
                <w:b/>
                <w:bCs/>
                <w:sz w:val="18"/>
                <w:szCs w:val="18"/>
              </w:rPr>
              <w:t>Dual Panel</w:t>
            </w:r>
          </w:p>
        </w:tc>
        <w:tc>
          <w:tcPr>
            <w:tcW w:w="1350" w:type="dxa"/>
          </w:tcPr>
          <w:p w14:paraId="5D81DA13" w14:textId="48EF96B3" w:rsidR="001F383F" w:rsidRPr="00F94015" w:rsidRDefault="001F383F" w:rsidP="003A6F1B">
            <w:pPr>
              <w:pStyle w:val="BodyText"/>
              <w:spacing w:after="0"/>
              <w:jc w:val="center"/>
              <w:rPr>
                <w:b/>
                <w:bCs/>
                <w:sz w:val="18"/>
                <w:szCs w:val="18"/>
              </w:rPr>
            </w:pPr>
            <w:r w:rsidRPr="00F94015">
              <w:rPr>
                <w:b/>
                <w:bCs/>
                <w:sz w:val="18"/>
                <w:szCs w:val="18"/>
              </w:rPr>
              <w:t>Single Panel</w:t>
            </w:r>
          </w:p>
        </w:tc>
      </w:tr>
      <w:tr w:rsidR="001F383F" w14:paraId="374F775E" w14:textId="6B9445FE" w:rsidTr="00F94015">
        <w:trPr>
          <w:jc w:val="center"/>
        </w:trPr>
        <w:tc>
          <w:tcPr>
            <w:tcW w:w="1345" w:type="dxa"/>
          </w:tcPr>
          <w:p w14:paraId="2193E67E" w14:textId="77777777" w:rsidR="001F383F" w:rsidRPr="00F94015" w:rsidRDefault="001F383F" w:rsidP="00F94015">
            <w:pPr>
              <w:pStyle w:val="BodyText"/>
              <w:spacing w:after="0"/>
              <w:jc w:val="center"/>
              <w:rPr>
                <w:sz w:val="18"/>
                <w:szCs w:val="18"/>
              </w:rPr>
            </w:pPr>
            <w:r w:rsidRPr="00F94015">
              <w:rPr>
                <w:sz w:val="18"/>
                <w:szCs w:val="18"/>
              </w:rPr>
              <w:t>Scenario B</w:t>
            </w:r>
          </w:p>
          <w:p w14:paraId="7A0389E5" w14:textId="66975D3F" w:rsidR="001F383F" w:rsidRPr="00F94015" w:rsidRDefault="001F383F" w:rsidP="00F94015">
            <w:pPr>
              <w:pStyle w:val="BodyText"/>
              <w:spacing w:after="0"/>
              <w:jc w:val="center"/>
              <w:rPr>
                <w:sz w:val="18"/>
                <w:szCs w:val="18"/>
              </w:rPr>
            </w:pPr>
            <w:r w:rsidRPr="00F94015">
              <w:rPr>
                <w:sz w:val="18"/>
                <w:szCs w:val="18"/>
              </w:rPr>
              <w:t>42 Pico Sites</w:t>
            </w:r>
          </w:p>
          <w:p w14:paraId="596C517C" w14:textId="74CE109F" w:rsidR="001F383F" w:rsidRPr="00F94015" w:rsidRDefault="001F383F" w:rsidP="00F94015">
            <w:pPr>
              <w:pStyle w:val="BodyText"/>
              <w:spacing w:after="0"/>
              <w:jc w:val="center"/>
              <w:rPr>
                <w:sz w:val="18"/>
                <w:szCs w:val="18"/>
              </w:rPr>
            </w:pPr>
            <w:r w:rsidRPr="00F94015">
              <w:rPr>
                <w:sz w:val="18"/>
                <w:szCs w:val="18"/>
              </w:rPr>
              <w:t>100 m ISD</w:t>
            </w:r>
          </w:p>
        </w:tc>
        <w:tc>
          <w:tcPr>
            <w:tcW w:w="1170" w:type="dxa"/>
            <w:vAlign w:val="center"/>
          </w:tcPr>
          <w:p w14:paraId="2B7EE4E1" w14:textId="57E12615" w:rsidR="001F383F" w:rsidRPr="00F94015" w:rsidRDefault="001F383F" w:rsidP="008E1BEB">
            <w:pPr>
              <w:pStyle w:val="BodyText"/>
              <w:spacing w:after="0"/>
              <w:jc w:val="center"/>
              <w:rPr>
                <w:sz w:val="18"/>
                <w:szCs w:val="18"/>
              </w:rPr>
            </w:pPr>
            <w:r w:rsidRPr="00F94015">
              <w:rPr>
                <w:sz w:val="18"/>
                <w:szCs w:val="18"/>
              </w:rPr>
              <w:t>99%</w:t>
            </w:r>
          </w:p>
        </w:tc>
        <w:tc>
          <w:tcPr>
            <w:tcW w:w="1350" w:type="dxa"/>
            <w:vAlign w:val="center"/>
          </w:tcPr>
          <w:p w14:paraId="681BCEDA" w14:textId="26EC73B0" w:rsidR="001F383F" w:rsidRPr="00227A6A" w:rsidRDefault="001F383F" w:rsidP="008E1BEB">
            <w:pPr>
              <w:pStyle w:val="BodyText"/>
              <w:spacing w:after="0"/>
              <w:jc w:val="center"/>
              <w:rPr>
                <w:sz w:val="18"/>
                <w:szCs w:val="18"/>
              </w:rPr>
            </w:pPr>
            <w:r w:rsidRPr="00F94015">
              <w:rPr>
                <w:sz w:val="18"/>
                <w:szCs w:val="18"/>
              </w:rPr>
              <w:t>98%</w:t>
            </w:r>
          </w:p>
        </w:tc>
        <w:tc>
          <w:tcPr>
            <w:tcW w:w="1170" w:type="dxa"/>
            <w:vAlign w:val="center"/>
          </w:tcPr>
          <w:p w14:paraId="3E1F559E" w14:textId="09D2693C" w:rsidR="001F383F" w:rsidRPr="00F94015" w:rsidRDefault="001F383F" w:rsidP="008E1BEB">
            <w:pPr>
              <w:pStyle w:val="BodyText"/>
              <w:spacing w:after="0"/>
              <w:jc w:val="center"/>
              <w:rPr>
                <w:sz w:val="18"/>
                <w:szCs w:val="18"/>
              </w:rPr>
            </w:pPr>
            <w:r w:rsidRPr="00F94015">
              <w:rPr>
                <w:sz w:val="18"/>
                <w:szCs w:val="18"/>
              </w:rPr>
              <w:t>0.30</w:t>
            </w:r>
          </w:p>
        </w:tc>
        <w:tc>
          <w:tcPr>
            <w:tcW w:w="1350" w:type="dxa"/>
            <w:vAlign w:val="center"/>
          </w:tcPr>
          <w:p w14:paraId="31FBE97D" w14:textId="46413199" w:rsidR="001F383F" w:rsidRPr="00227A6A" w:rsidRDefault="001F383F" w:rsidP="008E1BEB">
            <w:pPr>
              <w:pStyle w:val="BodyText"/>
              <w:spacing w:after="0"/>
              <w:jc w:val="center"/>
              <w:rPr>
                <w:sz w:val="18"/>
                <w:szCs w:val="18"/>
              </w:rPr>
            </w:pPr>
            <w:r w:rsidRPr="00F94015">
              <w:rPr>
                <w:sz w:val="18"/>
                <w:szCs w:val="18"/>
              </w:rPr>
              <w:t>0.41</w:t>
            </w:r>
          </w:p>
        </w:tc>
        <w:tc>
          <w:tcPr>
            <w:tcW w:w="1170" w:type="dxa"/>
            <w:vAlign w:val="center"/>
          </w:tcPr>
          <w:p w14:paraId="53246BFC" w14:textId="737ED88E" w:rsidR="001F383F" w:rsidRPr="00F94015" w:rsidRDefault="001F383F" w:rsidP="008E1BEB">
            <w:pPr>
              <w:pStyle w:val="BodyText"/>
              <w:spacing w:after="0"/>
              <w:jc w:val="center"/>
              <w:rPr>
                <w:sz w:val="18"/>
                <w:szCs w:val="18"/>
              </w:rPr>
            </w:pPr>
            <w:r w:rsidRPr="00F94015">
              <w:rPr>
                <w:sz w:val="18"/>
                <w:szCs w:val="18"/>
              </w:rPr>
              <w:t>3.7</w:t>
            </w:r>
          </w:p>
        </w:tc>
        <w:tc>
          <w:tcPr>
            <w:tcW w:w="1350" w:type="dxa"/>
            <w:vAlign w:val="center"/>
          </w:tcPr>
          <w:p w14:paraId="324E1A22" w14:textId="666F2F2E" w:rsidR="001F383F" w:rsidRPr="00227A6A" w:rsidRDefault="001F383F" w:rsidP="008E1BEB">
            <w:pPr>
              <w:pStyle w:val="BodyText"/>
              <w:spacing w:after="0"/>
              <w:jc w:val="center"/>
              <w:rPr>
                <w:sz w:val="18"/>
                <w:szCs w:val="18"/>
              </w:rPr>
            </w:pPr>
            <w:r w:rsidRPr="00F94015">
              <w:rPr>
                <w:sz w:val="18"/>
                <w:szCs w:val="18"/>
              </w:rPr>
              <w:t>4.8</w:t>
            </w:r>
          </w:p>
        </w:tc>
      </w:tr>
      <w:tr w:rsidR="001F383F" w14:paraId="7B3FF3F8" w14:textId="5678E900" w:rsidTr="00F94015">
        <w:trPr>
          <w:jc w:val="center"/>
        </w:trPr>
        <w:tc>
          <w:tcPr>
            <w:tcW w:w="1345" w:type="dxa"/>
          </w:tcPr>
          <w:p w14:paraId="7EA31C4C" w14:textId="000ABBA8" w:rsidR="001F383F" w:rsidRDefault="001F383F" w:rsidP="00F94015">
            <w:pPr>
              <w:pStyle w:val="BodyText"/>
              <w:spacing w:after="0"/>
              <w:jc w:val="center"/>
              <w:rPr>
                <w:sz w:val="18"/>
                <w:szCs w:val="18"/>
              </w:rPr>
            </w:pPr>
            <w:r w:rsidRPr="00F94015">
              <w:rPr>
                <w:sz w:val="18"/>
                <w:szCs w:val="18"/>
              </w:rPr>
              <w:t>Scenario A</w:t>
            </w:r>
          </w:p>
          <w:p w14:paraId="36CDD966" w14:textId="1DE306EA" w:rsidR="001F383F" w:rsidRPr="00F94015" w:rsidRDefault="001F383F" w:rsidP="00F94015">
            <w:pPr>
              <w:pStyle w:val="BodyText"/>
              <w:spacing w:after="0"/>
              <w:jc w:val="center"/>
              <w:rPr>
                <w:sz w:val="18"/>
                <w:szCs w:val="18"/>
              </w:rPr>
            </w:pPr>
            <w:r>
              <w:rPr>
                <w:sz w:val="18"/>
                <w:szCs w:val="18"/>
              </w:rPr>
              <w:t>7 Micro Sites</w:t>
            </w:r>
          </w:p>
          <w:p w14:paraId="528196EE" w14:textId="77777777" w:rsidR="001F383F" w:rsidRPr="00F94015" w:rsidRDefault="001F383F" w:rsidP="00F94015">
            <w:pPr>
              <w:pStyle w:val="BodyText"/>
              <w:spacing w:after="0"/>
              <w:jc w:val="center"/>
              <w:rPr>
                <w:sz w:val="18"/>
                <w:szCs w:val="18"/>
              </w:rPr>
            </w:pPr>
            <w:r w:rsidRPr="00F94015">
              <w:rPr>
                <w:sz w:val="18"/>
                <w:szCs w:val="18"/>
              </w:rPr>
              <w:t>100 m ISD</w:t>
            </w:r>
          </w:p>
        </w:tc>
        <w:tc>
          <w:tcPr>
            <w:tcW w:w="1170" w:type="dxa"/>
            <w:vAlign w:val="center"/>
          </w:tcPr>
          <w:p w14:paraId="50880419" w14:textId="6446B320" w:rsidR="001F383F" w:rsidRPr="00F94015" w:rsidRDefault="001F383F" w:rsidP="008E1BEB">
            <w:pPr>
              <w:pStyle w:val="BodyText"/>
              <w:spacing w:after="0"/>
              <w:jc w:val="center"/>
              <w:rPr>
                <w:sz w:val="18"/>
                <w:szCs w:val="18"/>
              </w:rPr>
            </w:pPr>
            <w:r w:rsidRPr="00F94015">
              <w:rPr>
                <w:sz w:val="18"/>
                <w:szCs w:val="18"/>
              </w:rPr>
              <w:t>89%</w:t>
            </w:r>
          </w:p>
        </w:tc>
        <w:tc>
          <w:tcPr>
            <w:tcW w:w="1350" w:type="dxa"/>
            <w:vAlign w:val="center"/>
          </w:tcPr>
          <w:p w14:paraId="3DD11E51" w14:textId="6786A26A" w:rsidR="001F383F" w:rsidRPr="00227A6A" w:rsidRDefault="001F383F" w:rsidP="008E1BEB">
            <w:pPr>
              <w:pStyle w:val="BodyText"/>
              <w:spacing w:after="0"/>
              <w:jc w:val="center"/>
              <w:rPr>
                <w:sz w:val="18"/>
                <w:szCs w:val="18"/>
              </w:rPr>
            </w:pPr>
            <w:r w:rsidRPr="00F94015">
              <w:rPr>
                <w:sz w:val="18"/>
                <w:szCs w:val="18"/>
              </w:rPr>
              <w:t>86%</w:t>
            </w:r>
          </w:p>
        </w:tc>
        <w:tc>
          <w:tcPr>
            <w:tcW w:w="1170" w:type="dxa"/>
            <w:vAlign w:val="center"/>
          </w:tcPr>
          <w:p w14:paraId="0D12128B" w14:textId="0752B010" w:rsidR="001F383F" w:rsidRPr="00F94015" w:rsidRDefault="001F383F" w:rsidP="008E1BEB">
            <w:pPr>
              <w:pStyle w:val="BodyText"/>
              <w:spacing w:after="0"/>
              <w:jc w:val="center"/>
              <w:rPr>
                <w:sz w:val="18"/>
                <w:szCs w:val="18"/>
              </w:rPr>
            </w:pPr>
            <w:r w:rsidRPr="00F94015">
              <w:rPr>
                <w:sz w:val="18"/>
                <w:szCs w:val="18"/>
              </w:rPr>
              <w:t>1.0</w:t>
            </w:r>
          </w:p>
        </w:tc>
        <w:tc>
          <w:tcPr>
            <w:tcW w:w="1350" w:type="dxa"/>
            <w:vAlign w:val="center"/>
          </w:tcPr>
          <w:p w14:paraId="42AE467B" w14:textId="0AB54C8F" w:rsidR="001F383F" w:rsidRPr="00227A6A" w:rsidRDefault="001F383F" w:rsidP="008E1BEB">
            <w:pPr>
              <w:pStyle w:val="BodyText"/>
              <w:spacing w:after="0"/>
              <w:jc w:val="center"/>
              <w:rPr>
                <w:sz w:val="18"/>
                <w:szCs w:val="18"/>
              </w:rPr>
            </w:pPr>
            <w:r w:rsidRPr="00F94015">
              <w:rPr>
                <w:sz w:val="18"/>
                <w:szCs w:val="18"/>
              </w:rPr>
              <w:t>1.9</w:t>
            </w:r>
          </w:p>
        </w:tc>
        <w:tc>
          <w:tcPr>
            <w:tcW w:w="1170" w:type="dxa"/>
            <w:vAlign w:val="center"/>
          </w:tcPr>
          <w:p w14:paraId="095E21B6" w14:textId="0A391CB3" w:rsidR="001F383F" w:rsidRPr="00F94015" w:rsidRDefault="001F383F" w:rsidP="008E1BEB">
            <w:pPr>
              <w:pStyle w:val="BodyText"/>
              <w:spacing w:after="0"/>
              <w:jc w:val="center"/>
              <w:rPr>
                <w:sz w:val="18"/>
                <w:szCs w:val="18"/>
              </w:rPr>
            </w:pPr>
            <w:r w:rsidRPr="00F94015">
              <w:rPr>
                <w:sz w:val="18"/>
                <w:szCs w:val="18"/>
              </w:rPr>
              <w:t>19</w:t>
            </w:r>
          </w:p>
        </w:tc>
        <w:tc>
          <w:tcPr>
            <w:tcW w:w="1350" w:type="dxa"/>
            <w:vAlign w:val="center"/>
          </w:tcPr>
          <w:p w14:paraId="778F9756" w14:textId="775513CB" w:rsidR="001F383F" w:rsidRPr="00227A6A" w:rsidRDefault="001F383F" w:rsidP="008E1BEB">
            <w:pPr>
              <w:pStyle w:val="BodyText"/>
              <w:spacing w:after="0"/>
              <w:jc w:val="center"/>
              <w:rPr>
                <w:sz w:val="18"/>
                <w:szCs w:val="18"/>
              </w:rPr>
            </w:pPr>
            <w:r w:rsidRPr="00F94015">
              <w:rPr>
                <w:sz w:val="18"/>
                <w:szCs w:val="18"/>
              </w:rPr>
              <w:t>38</w:t>
            </w:r>
          </w:p>
        </w:tc>
      </w:tr>
      <w:tr w:rsidR="001F383F" w14:paraId="1D302F0E" w14:textId="1CC4FFFA" w:rsidTr="00F94015">
        <w:trPr>
          <w:jc w:val="center"/>
        </w:trPr>
        <w:tc>
          <w:tcPr>
            <w:tcW w:w="1345" w:type="dxa"/>
          </w:tcPr>
          <w:p w14:paraId="5F7F5B6A" w14:textId="298CF615" w:rsidR="001F383F" w:rsidRDefault="001F383F" w:rsidP="00F94015">
            <w:pPr>
              <w:pStyle w:val="BodyText"/>
              <w:spacing w:after="0"/>
              <w:jc w:val="center"/>
              <w:rPr>
                <w:sz w:val="18"/>
                <w:szCs w:val="18"/>
              </w:rPr>
            </w:pPr>
            <w:r w:rsidRPr="00F94015">
              <w:rPr>
                <w:sz w:val="18"/>
                <w:szCs w:val="18"/>
              </w:rPr>
              <w:t>Scenario A</w:t>
            </w:r>
          </w:p>
          <w:p w14:paraId="1FC94A83" w14:textId="71420A01" w:rsidR="001F383F" w:rsidRPr="00F94015" w:rsidRDefault="001F383F" w:rsidP="00F94015">
            <w:pPr>
              <w:pStyle w:val="BodyText"/>
              <w:spacing w:after="0"/>
              <w:jc w:val="center"/>
              <w:rPr>
                <w:sz w:val="18"/>
                <w:szCs w:val="18"/>
              </w:rPr>
            </w:pPr>
            <w:r>
              <w:rPr>
                <w:sz w:val="18"/>
                <w:szCs w:val="18"/>
              </w:rPr>
              <w:t>7 Micro Sites</w:t>
            </w:r>
          </w:p>
          <w:p w14:paraId="33E2E81F" w14:textId="77777777" w:rsidR="001F383F" w:rsidRPr="00F94015" w:rsidRDefault="001F383F" w:rsidP="00F94015">
            <w:pPr>
              <w:pStyle w:val="BodyText"/>
              <w:spacing w:after="0"/>
              <w:jc w:val="center"/>
              <w:rPr>
                <w:sz w:val="18"/>
                <w:szCs w:val="18"/>
              </w:rPr>
            </w:pPr>
            <w:r w:rsidRPr="00F94015">
              <w:rPr>
                <w:sz w:val="18"/>
                <w:szCs w:val="18"/>
              </w:rPr>
              <w:t>150 m ISD</w:t>
            </w:r>
          </w:p>
        </w:tc>
        <w:tc>
          <w:tcPr>
            <w:tcW w:w="1170" w:type="dxa"/>
            <w:vAlign w:val="center"/>
          </w:tcPr>
          <w:p w14:paraId="22EFB558" w14:textId="4C0EAC0F" w:rsidR="001F383F" w:rsidRPr="00F94015" w:rsidRDefault="001F383F" w:rsidP="008E1BEB">
            <w:pPr>
              <w:pStyle w:val="BodyText"/>
              <w:spacing w:after="0"/>
              <w:jc w:val="center"/>
              <w:rPr>
                <w:sz w:val="18"/>
                <w:szCs w:val="18"/>
              </w:rPr>
            </w:pPr>
            <w:r w:rsidRPr="00F94015">
              <w:rPr>
                <w:sz w:val="18"/>
                <w:szCs w:val="18"/>
              </w:rPr>
              <w:t>74%</w:t>
            </w:r>
          </w:p>
        </w:tc>
        <w:tc>
          <w:tcPr>
            <w:tcW w:w="1350" w:type="dxa"/>
            <w:vAlign w:val="center"/>
          </w:tcPr>
          <w:p w14:paraId="70C0B889" w14:textId="2406D984" w:rsidR="001F383F" w:rsidRPr="00227A6A" w:rsidRDefault="001F383F" w:rsidP="008E1BEB">
            <w:pPr>
              <w:pStyle w:val="BodyText"/>
              <w:spacing w:after="0"/>
              <w:jc w:val="center"/>
              <w:rPr>
                <w:sz w:val="18"/>
                <w:szCs w:val="18"/>
              </w:rPr>
            </w:pPr>
            <w:r w:rsidRPr="00F94015">
              <w:rPr>
                <w:sz w:val="18"/>
                <w:szCs w:val="18"/>
              </w:rPr>
              <w:t>75%</w:t>
            </w:r>
          </w:p>
        </w:tc>
        <w:tc>
          <w:tcPr>
            <w:tcW w:w="1170" w:type="dxa"/>
            <w:vAlign w:val="center"/>
          </w:tcPr>
          <w:p w14:paraId="610CC0C4" w14:textId="69EB9BA8" w:rsidR="001F383F" w:rsidRPr="00F94015" w:rsidRDefault="001F383F" w:rsidP="008E1BEB">
            <w:pPr>
              <w:pStyle w:val="BodyText"/>
              <w:spacing w:after="0"/>
              <w:jc w:val="center"/>
              <w:rPr>
                <w:sz w:val="18"/>
                <w:szCs w:val="18"/>
              </w:rPr>
            </w:pPr>
            <w:r w:rsidRPr="00F94015">
              <w:rPr>
                <w:sz w:val="18"/>
                <w:szCs w:val="18"/>
              </w:rPr>
              <w:t>1.6</w:t>
            </w:r>
          </w:p>
        </w:tc>
        <w:tc>
          <w:tcPr>
            <w:tcW w:w="1350" w:type="dxa"/>
            <w:vAlign w:val="center"/>
          </w:tcPr>
          <w:p w14:paraId="2C95EC09" w14:textId="7C53D679" w:rsidR="001F383F" w:rsidRPr="00227A6A" w:rsidRDefault="001F383F" w:rsidP="008E1BEB">
            <w:pPr>
              <w:pStyle w:val="BodyText"/>
              <w:spacing w:after="0"/>
              <w:jc w:val="center"/>
              <w:rPr>
                <w:sz w:val="18"/>
                <w:szCs w:val="18"/>
              </w:rPr>
            </w:pPr>
            <w:r w:rsidRPr="00F94015">
              <w:rPr>
                <w:sz w:val="18"/>
                <w:szCs w:val="18"/>
              </w:rPr>
              <w:t>3.8</w:t>
            </w:r>
          </w:p>
        </w:tc>
        <w:tc>
          <w:tcPr>
            <w:tcW w:w="1170" w:type="dxa"/>
            <w:vAlign w:val="center"/>
          </w:tcPr>
          <w:p w14:paraId="414C0A33" w14:textId="0EBF5E91" w:rsidR="001F383F" w:rsidRPr="00F94015" w:rsidRDefault="001F383F" w:rsidP="008E1BEB">
            <w:pPr>
              <w:pStyle w:val="BodyText"/>
              <w:spacing w:after="0"/>
              <w:jc w:val="center"/>
              <w:rPr>
                <w:sz w:val="18"/>
                <w:szCs w:val="18"/>
              </w:rPr>
            </w:pPr>
            <w:r w:rsidRPr="00F94015">
              <w:rPr>
                <w:sz w:val="18"/>
                <w:szCs w:val="18"/>
              </w:rPr>
              <w:t>29</w:t>
            </w:r>
          </w:p>
        </w:tc>
        <w:tc>
          <w:tcPr>
            <w:tcW w:w="1350" w:type="dxa"/>
            <w:vAlign w:val="center"/>
          </w:tcPr>
          <w:p w14:paraId="4C9CE0C7" w14:textId="15FA50A6" w:rsidR="001F383F" w:rsidRPr="00227A6A" w:rsidRDefault="001F383F" w:rsidP="008E1BEB">
            <w:pPr>
              <w:pStyle w:val="BodyText"/>
              <w:spacing w:after="0"/>
              <w:jc w:val="center"/>
              <w:rPr>
                <w:sz w:val="18"/>
                <w:szCs w:val="18"/>
              </w:rPr>
            </w:pPr>
            <w:r w:rsidRPr="00F94015">
              <w:rPr>
                <w:sz w:val="18"/>
                <w:szCs w:val="18"/>
              </w:rPr>
              <w:t>56</w:t>
            </w:r>
          </w:p>
        </w:tc>
      </w:tr>
      <w:tr w:rsidR="001F383F" w14:paraId="148BAFDA" w14:textId="74C612CD" w:rsidTr="00F94015">
        <w:trPr>
          <w:jc w:val="center"/>
        </w:trPr>
        <w:tc>
          <w:tcPr>
            <w:tcW w:w="1345" w:type="dxa"/>
          </w:tcPr>
          <w:p w14:paraId="5C89EE79" w14:textId="77777777" w:rsidR="001F383F" w:rsidRPr="00F94015" w:rsidRDefault="001F383F" w:rsidP="00F94015">
            <w:pPr>
              <w:pStyle w:val="BodyText"/>
              <w:spacing w:after="0"/>
              <w:jc w:val="center"/>
              <w:rPr>
                <w:sz w:val="18"/>
                <w:szCs w:val="18"/>
              </w:rPr>
            </w:pPr>
            <w:r w:rsidRPr="00F94015">
              <w:rPr>
                <w:sz w:val="18"/>
                <w:szCs w:val="18"/>
              </w:rPr>
              <w:t>Scenario A</w:t>
            </w:r>
          </w:p>
          <w:p w14:paraId="274CDD71" w14:textId="5E9B8EAE" w:rsidR="001F383F" w:rsidRDefault="001F383F" w:rsidP="00F94015">
            <w:pPr>
              <w:pStyle w:val="BodyText"/>
              <w:spacing w:after="0"/>
              <w:jc w:val="center"/>
              <w:rPr>
                <w:sz w:val="18"/>
                <w:szCs w:val="18"/>
              </w:rPr>
            </w:pPr>
            <w:r>
              <w:rPr>
                <w:sz w:val="18"/>
                <w:szCs w:val="18"/>
              </w:rPr>
              <w:t xml:space="preserve">1 Micro </w:t>
            </w:r>
            <w:r w:rsidRPr="00F94015">
              <w:rPr>
                <w:sz w:val="18"/>
                <w:szCs w:val="18"/>
              </w:rPr>
              <w:t>Site</w:t>
            </w:r>
          </w:p>
          <w:p w14:paraId="328E6F40" w14:textId="7558CFD8" w:rsidR="001F383F" w:rsidRPr="00F94015" w:rsidRDefault="001F383F" w:rsidP="00F94015">
            <w:pPr>
              <w:pStyle w:val="BodyText"/>
              <w:spacing w:after="0"/>
              <w:jc w:val="center"/>
              <w:rPr>
                <w:sz w:val="18"/>
                <w:szCs w:val="18"/>
              </w:rPr>
            </w:pPr>
            <w:r>
              <w:rPr>
                <w:sz w:val="18"/>
                <w:szCs w:val="18"/>
              </w:rPr>
              <w:t>100 m ISD</w:t>
            </w:r>
          </w:p>
        </w:tc>
        <w:tc>
          <w:tcPr>
            <w:tcW w:w="1170" w:type="dxa"/>
            <w:vAlign w:val="center"/>
          </w:tcPr>
          <w:p w14:paraId="1D4EB52E" w14:textId="10BD9749" w:rsidR="001F383F" w:rsidRPr="00F94015" w:rsidRDefault="001F383F" w:rsidP="008E1BEB">
            <w:pPr>
              <w:pStyle w:val="BodyText"/>
              <w:spacing w:after="0"/>
              <w:jc w:val="center"/>
              <w:rPr>
                <w:sz w:val="18"/>
                <w:szCs w:val="18"/>
              </w:rPr>
            </w:pPr>
            <w:r w:rsidRPr="00F94015">
              <w:rPr>
                <w:sz w:val="18"/>
                <w:szCs w:val="18"/>
              </w:rPr>
              <w:t>72%</w:t>
            </w:r>
          </w:p>
        </w:tc>
        <w:tc>
          <w:tcPr>
            <w:tcW w:w="1350" w:type="dxa"/>
            <w:vAlign w:val="center"/>
          </w:tcPr>
          <w:p w14:paraId="6FB8CCBC" w14:textId="024D0E08" w:rsidR="001F383F" w:rsidRPr="00227A6A" w:rsidRDefault="001F383F" w:rsidP="008E1BEB">
            <w:pPr>
              <w:pStyle w:val="BodyText"/>
              <w:spacing w:after="0"/>
              <w:jc w:val="center"/>
              <w:rPr>
                <w:sz w:val="18"/>
                <w:szCs w:val="18"/>
              </w:rPr>
            </w:pPr>
            <w:r w:rsidRPr="00F94015">
              <w:rPr>
                <w:sz w:val="18"/>
                <w:szCs w:val="18"/>
              </w:rPr>
              <w:t>73%</w:t>
            </w:r>
          </w:p>
        </w:tc>
        <w:tc>
          <w:tcPr>
            <w:tcW w:w="1170" w:type="dxa"/>
            <w:vAlign w:val="center"/>
          </w:tcPr>
          <w:p w14:paraId="6F8971C3" w14:textId="5461787A" w:rsidR="001F383F" w:rsidRPr="00F94015" w:rsidRDefault="001F383F" w:rsidP="008E1BEB">
            <w:pPr>
              <w:pStyle w:val="BodyText"/>
              <w:spacing w:after="0"/>
              <w:jc w:val="center"/>
              <w:rPr>
                <w:sz w:val="18"/>
                <w:szCs w:val="18"/>
              </w:rPr>
            </w:pPr>
            <w:r w:rsidRPr="00F94015">
              <w:rPr>
                <w:sz w:val="18"/>
                <w:szCs w:val="18"/>
              </w:rPr>
              <w:t>1.7</w:t>
            </w:r>
          </w:p>
        </w:tc>
        <w:tc>
          <w:tcPr>
            <w:tcW w:w="1350" w:type="dxa"/>
            <w:vAlign w:val="center"/>
          </w:tcPr>
          <w:p w14:paraId="23533067" w14:textId="09AD60AF" w:rsidR="001F383F" w:rsidRPr="00227A6A" w:rsidRDefault="001F383F" w:rsidP="008E1BEB">
            <w:pPr>
              <w:pStyle w:val="BodyText"/>
              <w:spacing w:after="0"/>
              <w:jc w:val="center"/>
              <w:rPr>
                <w:sz w:val="18"/>
                <w:szCs w:val="18"/>
              </w:rPr>
            </w:pPr>
            <w:r w:rsidRPr="00F94015">
              <w:rPr>
                <w:sz w:val="18"/>
                <w:szCs w:val="18"/>
              </w:rPr>
              <w:t>2.7</w:t>
            </w:r>
          </w:p>
        </w:tc>
        <w:tc>
          <w:tcPr>
            <w:tcW w:w="1170" w:type="dxa"/>
            <w:vAlign w:val="center"/>
          </w:tcPr>
          <w:p w14:paraId="06DE2DB2" w14:textId="3A57B990" w:rsidR="001F383F" w:rsidRPr="00F94015" w:rsidRDefault="001F383F" w:rsidP="008E1BEB">
            <w:pPr>
              <w:pStyle w:val="BodyText"/>
              <w:spacing w:after="0"/>
              <w:jc w:val="center"/>
              <w:rPr>
                <w:sz w:val="18"/>
                <w:szCs w:val="18"/>
              </w:rPr>
            </w:pPr>
            <w:r w:rsidRPr="00F94015">
              <w:rPr>
                <w:sz w:val="18"/>
                <w:szCs w:val="18"/>
              </w:rPr>
              <w:t>36</w:t>
            </w:r>
          </w:p>
        </w:tc>
        <w:tc>
          <w:tcPr>
            <w:tcW w:w="1350" w:type="dxa"/>
            <w:vAlign w:val="center"/>
          </w:tcPr>
          <w:p w14:paraId="6DCC39AE" w14:textId="4E38736B" w:rsidR="001F383F" w:rsidRPr="00227A6A" w:rsidRDefault="001F383F" w:rsidP="008E1BEB">
            <w:pPr>
              <w:pStyle w:val="BodyText"/>
              <w:spacing w:after="0"/>
              <w:jc w:val="center"/>
              <w:rPr>
                <w:sz w:val="18"/>
                <w:szCs w:val="18"/>
              </w:rPr>
            </w:pPr>
            <w:r w:rsidRPr="00F94015">
              <w:rPr>
                <w:sz w:val="18"/>
                <w:szCs w:val="18"/>
              </w:rPr>
              <w:t>52</w:t>
            </w:r>
          </w:p>
        </w:tc>
      </w:tr>
    </w:tbl>
    <w:p w14:paraId="0ABA6FD5" w14:textId="77777777" w:rsidR="001F383F" w:rsidRDefault="001F383F" w:rsidP="003134A3">
      <w:pPr>
        <w:pStyle w:val="BodyText"/>
      </w:pPr>
    </w:p>
    <w:p w14:paraId="5330F2A4" w14:textId="5222E9EA" w:rsidR="00493141" w:rsidRDefault="001C20CD" w:rsidP="0038795A">
      <w:pPr>
        <w:pStyle w:val="BodyText"/>
      </w:pPr>
      <w:r>
        <w:t xml:space="preserve">Clearly, as the LOS probability decreases, the RMS delay spread increases illustrating the inverse correlation. In all but the extreme case of 99% LOS probability, the </w:t>
      </w:r>
      <w:r w:rsidR="00543460">
        <w:t>RMS delay spread distributions</w:t>
      </w:r>
      <w:r>
        <w:t xml:space="preserve"> have long tails. Indeed, there is a significant dependence of the 90</w:t>
      </w:r>
      <w:r w:rsidRPr="001C20CD">
        <w:rPr>
          <w:vertAlign w:val="superscript"/>
        </w:rPr>
        <w:t>th</w:t>
      </w:r>
      <w:r>
        <w:t xml:space="preserve"> percentile on the LOS probability.</w:t>
      </w:r>
      <w:r w:rsidR="00493141">
        <w:t xml:space="preserve"> For the extreme case of 99% LOS probability, the 90</w:t>
      </w:r>
      <w:r w:rsidR="00493141" w:rsidRPr="00493141">
        <w:rPr>
          <w:vertAlign w:val="superscript"/>
        </w:rPr>
        <w:t>th</w:t>
      </w:r>
      <w:r w:rsidR="00493141">
        <w:t xml:space="preserve"> percentile RMS delay spread is quite small (3.7</w:t>
      </w:r>
      <w:r w:rsidR="00351615">
        <w:t>/4.8</w:t>
      </w:r>
      <w:r w:rsidR="00493141">
        <w:t xml:space="preserve"> ns</w:t>
      </w:r>
      <w:r w:rsidR="00351615">
        <w:t xml:space="preserve"> for dual/single panel UEs</w:t>
      </w:r>
      <w:r w:rsidR="00493141">
        <w:t>) due to the high density of micro cells. However, for other deployment scenarios with lower site densities, the range of 90</w:t>
      </w:r>
      <w:r w:rsidR="00493141" w:rsidRPr="00493141">
        <w:rPr>
          <w:vertAlign w:val="superscript"/>
        </w:rPr>
        <w:t>th</w:t>
      </w:r>
      <w:r w:rsidR="00493141">
        <w:t xml:space="preserve"> percentile RMS delay spreads is 20 to 35 ns</w:t>
      </w:r>
      <w:r w:rsidR="00351615">
        <w:t xml:space="preserve"> for a dual panel UE.</w:t>
      </w:r>
      <w:r w:rsidR="006335B9">
        <w:t xml:space="preserve"> </w:t>
      </w:r>
      <w:r w:rsidR="00493141">
        <w:t xml:space="preserve">These values are similar to what is observed for the </w:t>
      </w:r>
      <w:r w:rsidR="00703738">
        <w:t xml:space="preserve">modified </w:t>
      </w:r>
      <w:r w:rsidR="00493141">
        <w:t>CDL-B channel model for UMi (when randomizing the UE orientation)</w:t>
      </w:r>
      <w:r w:rsidR="003B14A0">
        <w:t xml:space="preserve"> for the case of dual panel UEs</w:t>
      </w:r>
      <w:r w:rsidR="00493141">
        <w:t xml:space="preserve"> – see red curves in </w:t>
      </w:r>
      <w:r w:rsidR="00493141">
        <w:fldChar w:fldCharType="begin"/>
      </w:r>
      <w:r w:rsidR="00493141">
        <w:instrText xml:space="preserve"> REF _Ref46327724 \h </w:instrText>
      </w:r>
      <w:r w:rsidR="00493141">
        <w:fldChar w:fldCharType="separate"/>
      </w:r>
      <w:r w:rsidR="00CF206F" w:rsidRPr="00E90690">
        <w:t>Figure</w:t>
      </w:r>
      <w:r w:rsidR="00CF206F" w:rsidRPr="00F94015">
        <w:t xml:space="preserve"> </w:t>
      </w:r>
      <w:r w:rsidR="00CF206F">
        <w:rPr>
          <w:noProof/>
        </w:rPr>
        <w:t>9</w:t>
      </w:r>
      <w:r w:rsidR="00493141">
        <w:fldChar w:fldCharType="end"/>
      </w:r>
      <w:r w:rsidR="00493141">
        <w:t xml:space="preserve"> in Section 3.1.2.</w:t>
      </w:r>
      <w:r w:rsidR="006335B9">
        <w:t xml:space="preserve"> For a single panel UE, the 90</w:t>
      </w:r>
      <w:r w:rsidR="006335B9" w:rsidRPr="00607C80">
        <w:rPr>
          <w:vertAlign w:val="superscript"/>
        </w:rPr>
        <w:t>th</w:t>
      </w:r>
      <w:r w:rsidR="006335B9">
        <w:t xml:space="preserve"> percentile RMS delay spreads are quite a bit larger </w:t>
      </w:r>
      <w:r w:rsidR="00227A6A">
        <w:t xml:space="preserve">than dual panel </w:t>
      </w:r>
      <w:r w:rsidR="006335B9">
        <w:t>(range of 38 to 5</w:t>
      </w:r>
      <w:r w:rsidR="00F94015">
        <w:t>6</w:t>
      </w:r>
      <w:r w:rsidR="006335B9">
        <w:t xml:space="preserve"> ns)</w:t>
      </w:r>
      <w:r w:rsidR="00227A6A">
        <w:t>. W</w:t>
      </w:r>
      <w:r w:rsidR="006335B9">
        <w:t xml:space="preserve">hile not quite as large as those observed for the CDL-B model in </w:t>
      </w:r>
      <w:r w:rsidR="006335B9">
        <w:fldChar w:fldCharType="begin"/>
      </w:r>
      <w:r w:rsidR="006335B9">
        <w:instrText xml:space="preserve"> REF _Ref46327724 \h </w:instrText>
      </w:r>
      <w:r w:rsidR="006335B9">
        <w:fldChar w:fldCharType="separate"/>
      </w:r>
      <w:r w:rsidR="00CF206F" w:rsidRPr="00E90690">
        <w:t>Figure</w:t>
      </w:r>
      <w:r w:rsidR="00CF206F" w:rsidRPr="00F94015">
        <w:t xml:space="preserve"> </w:t>
      </w:r>
      <w:r w:rsidR="00CF206F">
        <w:rPr>
          <w:noProof/>
        </w:rPr>
        <w:t>9</w:t>
      </w:r>
      <w:r w:rsidR="006335B9">
        <w:fldChar w:fldCharType="end"/>
      </w:r>
      <w:r w:rsidR="006335B9">
        <w:t xml:space="preserve">, the results in both cases indicate that </w:t>
      </w:r>
      <w:r w:rsidR="00227A6A">
        <w:t xml:space="preserve">a </w:t>
      </w:r>
      <w:r w:rsidR="006335B9">
        <w:t>single panel UE or dual panel UEs in which one of the panels is blocked, the 90</w:t>
      </w:r>
      <w:r w:rsidR="006335B9" w:rsidRPr="00F94015">
        <w:rPr>
          <w:vertAlign w:val="superscript"/>
        </w:rPr>
        <w:t>th</w:t>
      </w:r>
      <w:r w:rsidR="006335B9">
        <w:t xml:space="preserve"> percentile delay spread is significantly larger than for dual panel UEs. </w:t>
      </w:r>
    </w:p>
    <w:p w14:paraId="5F43756B" w14:textId="2CC92292" w:rsidR="00493141" w:rsidRDefault="00493141" w:rsidP="00493141">
      <w:pPr>
        <w:pStyle w:val="Observation"/>
      </w:pPr>
      <w:bookmarkStart w:id="104" w:name="_Toc47697546"/>
      <w:bookmarkStart w:id="105" w:name="_Toc47697963"/>
      <w:bookmarkStart w:id="106" w:name="_Toc47709980"/>
      <w:bookmarkStart w:id="107" w:name="_Toc47710006"/>
      <w:bookmarkStart w:id="108" w:name="_Toc47712023"/>
      <w:bookmarkEnd w:id="104"/>
      <w:bookmarkEnd w:id="105"/>
      <w:bookmarkEnd w:id="106"/>
      <w:bookmarkEnd w:id="107"/>
      <w:r>
        <w:t xml:space="preserve">Outdoor Scenario B has an extremely high LOS probability (~99%) which leads to a very </w:t>
      </w:r>
      <w:r w:rsidR="004F5A17">
        <w:t>small value of 90</w:t>
      </w:r>
      <w:r w:rsidR="004F5A17" w:rsidRPr="004F5A17">
        <w:rPr>
          <w:vertAlign w:val="superscript"/>
        </w:rPr>
        <w:t>th</w:t>
      </w:r>
      <w:r w:rsidR="004F5A17">
        <w:t xml:space="preserve"> percentile </w:t>
      </w:r>
      <w:r>
        <w:t>post-beamforming RMS delay spread</w:t>
      </w:r>
      <w:r w:rsidR="00543460">
        <w:t xml:space="preserve"> (3.7 ns)</w:t>
      </w:r>
      <w:r>
        <w:t>.</w:t>
      </w:r>
      <w:bookmarkEnd w:id="108"/>
      <w:r>
        <w:t xml:space="preserve"> </w:t>
      </w:r>
    </w:p>
    <w:p w14:paraId="296AADB1" w14:textId="56C523A3" w:rsidR="004715F6" w:rsidRDefault="00E35ED6" w:rsidP="00493141">
      <w:pPr>
        <w:pStyle w:val="BodyText"/>
      </w:pPr>
      <w:r>
        <w:lastRenderedPageBreak/>
        <w:t>These results indicate that depending on the site density and the number of UE antenna panels, potentially with blocking, the 90</w:t>
      </w:r>
      <w:r w:rsidRPr="00F94015">
        <w:rPr>
          <w:vertAlign w:val="superscript"/>
        </w:rPr>
        <w:t>th</w:t>
      </w:r>
      <w:r>
        <w:t xml:space="preserve"> percentile RMS delay spread ranges from very low values of a few ns up to 5</w:t>
      </w:r>
      <w:r w:rsidR="00F94015">
        <w:t>6</w:t>
      </w:r>
      <w:r>
        <w:t xml:space="preserve"> ns. For the selection of appropriate SCS, typically one compares the RMS delay spread to the CP duration as a 1</w:t>
      </w:r>
      <w:r w:rsidRPr="00F94015">
        <w:rPr>
          <w:vertAlign w:val="superscript"/>
        </w:rPr>
        <w:t>st</w:t>
      </w:r>
      <w:r>
        <w:t xml:space="preserve"> order assessment of whether or not ISI can be a problem. It is important to recognize that one must take into account the higher percentiles (e.g., 90</w:t>
      </w:r>
      <w:r w:rsidRPr="00F94015">
        <w:rPr>
          <w:vertAlign w:val="superscript"/>
        </w:rPr>
        <w:t>th</w:t>
      </w:r>
      <w:r>
        <w:t xml:space="preserve"> percentile) in this assessment, since those will affect performance</w:t>
      </w:r>
      <w:r w:rsidR="00D547F1">
        <w:t xml:space="preserve">, particularly for </w:t>
      </w:r>
      <w:r>
        <w:t>higher order modulation formats</w:t>
      </w:r>
      <w:r w:rsidR="00D547F1">
        <w:t>. In addition, it is important to account for the fact that the instantaneous delay spread for a particular channel realization can be significantly greater than the RMS value.</w:t>
      </w:r>
    </w:p>
    <w:p w14:paraId="046A1B2E" w14:textId="49B4A5E5" w:rsidR="00D547F1" w:rsidRDefault="00D547F1" w:rsidP="00493141">
      <w:pPr>
        <w:pStyle w:val="BodyText"/>
      </w:pPr>
      <w:r>
        <w:t>For example, consider 960 kHz SCS for which the CP duration is 73 ns. If the RMS delay spread is up to 5</w:t>
      </w:r>
      <w:r w:rsidR="00F94015">
        <w:t>6</w:t>
      </w:r>
      <w:r>
        <w:t xml:space="preserve"> ns as observed above, and one considers instantaneous values that are larger, there will be a non-negligible probability that the delay spread exceeds the CP duration causing a degradation due to ISI.</w:t>
      </w:r>
      <w:r w:rsidR="005C2B5E">
        <w:t xml:space="preserve"> Even if the RMS delay spread is only a few tens of ns, this leaves very little margin for other practical impairments, e.g., errors in time synchronization (see next section). We point out that the link level simulation results for CDL-B shown in Section 3.1.2.2 consider 90</w:t>
      </w:r>
      <w:r w:rsidR="005C2B5E" w:rsidRPr="00F94015">
        <w:rPr>
          <w:vertAlign w:val="superscript"/>
        </w:rPr>
        <w:t>th</w:t>
      </w:r>
      <w:r w:rsidR="005C2B5E">
        <w:t xml:space="preserve"> percentile RMS delay spreads only up to 35 ns or so. While we show that ISI does not start to affect the 64-QAM results for 960 kHz SCS, the margin for time synchronization errors is almost zero.</w:t>
      </w:r>
    </w:p>
    <w:p w14:paraId="2AE92613" w14:textId="25F09145" w:rsidR="00774DE9" w:rsidRDefault="005C2B5E" w:rsidP="00493141">
      <w:pPr>
        <w:pStyle w:val="BodyText"/>
      </w:pPr>
      <w:r w:rsidRPr="00F94015">
        <w:t>These</w:t>
      </w:r>
      <w:r w:rsidR="00774DE9">
        <w:t xml:space="preserve"> </w:t>
      </w:r>
      <w:r w:rsidRPr="00F94015">
        <w:t>observations clearly demonstrate that it is important to perform link level evaluations with 90th percentile post-beamforming RMS delay spreads that are large enough to cover a suitable range of deployment scenarios other than just Outdoor Scenario B. It would be dangerous to make SCS selections based on such an extreme case. Moreover, the SCS selection must account not only</w:t>
      </w:r>
      <w:r w:rsidR="004715F6">
        <w:t xml:space="preserve"> for suitable </w:t>
      </w:r>
      <w:r w:rsidRPr="00F94015">
        <w:t xml:space="preserve">delay spread, but must leave </w:t>
      </w:r>
      <w:r w:rsidR="004715F6">
        <w:t xml:space="preserve">sufficient </w:t>
      </w:r>
      <w:r w:rsidRPr="00F94015">
        <w:t>margin for various sources of time synchronization error.</w:t>
      </w:r>
    </w:p>
    <w:p w14:paraId="53186D97" w14:textId="77777777" w:rsidR="0038795A" w:rsidRPr="00774DE9" w:rsidRDefault="0038795A" w:rsidP="00F94015">
      <w:pPr>
        <w:pStyle w:val="Observation"/>
      </w:pPr>
      <w:bookmarkStart w:id="109" w:name="_Toc47697965"/>
      <w:bookmarkStart w:id="110" w:name="_Toc47709982"/>
      <w:bookmarkStart w:id="111" w:name="_Toc47710008"/>
      <w:bookmarkStart w:id="112" w:name="_Toc47697966"/>
      <w:bookmarkStart w:id="113" w:name="_Toc47709983"/>
      <w:bookmarkStart w:id="114" w:name="_Toc47710009"/>
      <w:bookmarkStart w:id="115" w:name="_Toc47712024"/>
      <w:bookmarkEnd w:id="109"/>
      <w:bookmarkEnd w:id="110"/>
      <w:bookmarkEnd w:id="111"/>
      <w:bookmarkEnd w:id="112"/>
      <w:bookmarkEnd w:id="113"/>
      <w:bookmarkEnd w:id="114"/>
      <w:r w:rsidRPr="00774DE9">
        <w:t>For selection of suitable SCS for the 52.6 – 71 GHz frequency range, it is important to perform link level evaluations with 90th percentile RMS delay spreads that are representative of a suitable range of deployment scenarios with different site densities, e.g., up to several tens of ns. Sufficient margin must also be left for other sources of time synchronization error.</w:t>
      </w:r>
      <w:bookmarkEnd w:id="115"/>
    </w:p>
    <w:p w14:paraId="2CDEF94D" w14:textId="050A6666" w:rsidR="005C0997" w:rsidRDefault="005C0997" w:rsidP="005C0997">
      <w:pPr>
        <w:pStyle w:val="Heading2"/>
      </w:pPr>
      <w:bookmarkStart w:id="116" w:name="_Toc47530176"/>
      <w:r>
        <w:t>3.3</w:t>
      </w:r>
      <w:r>
        <w:tab/>
        <w:t>Frequency and timing estimation tolerance issues</w:t>
      </w:r>
      <w:bookmarkEnd w:id="116"/>
    </w:p>
    <w:p w14:paraId="010ED658" w14:textId="77777777" w:rsidR="005C0997" w:rsidRDefault="005C0997" w:rsidP="005C0997">
      <w:pPr>
        <w:pStyle w:val="BodyText"/>
      </w:pPr>
      <w:r>
        <w:t>In this section we discuss the effects and estimation of time and frequency errors and its implications on the choice of sub-carrier spacing.</w:t>
      </w:r>
    </w:p>
    <w:p w14:paraId="31419981" w14:textId="77777777" w:rsidR="005C0997" w:rsidRDefault="005C0997" w:rsidP="005C0997">
      <w:pPr>
        <w:pStyle w:val="BodyText"/>
      </w:pPr>
      <w:r>
        <w:t xml:space="preserve">Frequency errors have two effects on an OFDM waveform; a phase shift between symbols and mixing of subcarrier components of the received signal (ICI). Both these effects scale as </w:t>
      </w:r>
      <m:oMath>
        <m:r>
          <w:rPr>
            <w:rFonts w:ascii="Cambria Math" w:hAnsi="Cambria Math"/>
          </w:rPr>
          <m:t>∆f/SCS</m:t>
        </m:r>
      </m:oMath>
      <w:r>
        <w:t xml:space="preserve">, where </w:t>
      </w:r>
      <m:oMath>
        <m:r>
          <w:rPr>
            <w:rFonts w:ascii="Cambria Math" w:hAnsi="Cambria Math"/>
          </w:rPr>
          <m:t>∆f</m:t>
        </m:r>
      </m:oMath>
      <w:r>
        <w:t xml:space="preserve"> is the absolute frequency error and SCS is the subcarrier spacing. </w:t>
      </w:r>
    </w:p>
    <w:p w14:paraId="3CAAB1CC" w14:textId="6D48B42C" w:rsidR="005C0997" w:rsidRPr="0035235B" w:rsidRDefault="005C0997" w:rsidP="005C0997">
      <w:pPr>
        <w:pStyle w:val="BodyText"/>
        <w:rPr>
          <w:b/>
          <w:bCs/>
          <w:u w:val="single"/>
        </w:rPr>
      </w:pPr>
      <w:r>
        <w:t xml:space="preserve">Frequency errors are usually estimated by measuring the phase shift between symbols. Since the time difference between two symbols scales inversely with the SCS, the phase shift scales as </w:t>
      </w:r>
      <m:oMath>
        <m:r>
          <w:rPr>
            <w:rFonts w:ascii="Cambria Math" w:hAnsi="Cambria Math"/>
          </w:rPr>
          <m:t>∆f/SCS</m:t>
        </m:r>
      </m:oMath>
      <w:r>
        <w:t xml:space="preserve">. Due to the wrap around at </w:t>
      </w:r>
      <w:r>
        <w:rPr>
          <w:rFonts w:cs="Arial"/>
        </w:rPr>
        <w:t>±</w:t>
      </w:r>
      <w:r>
        <w:t xml:space="preserve">180 degrees, only frequency errors up to a certain maximum value can be estimated unambiguously, i.e. the estimator has maximum capture range that depends on </w:t>
      </w:r>
      <m:oMath>
        <m:r>
          <w:rPr>
            <w:rFonts w:ascii="Cambria Math" w:hAnsi="Cambria Math"/>
          </w:rPr>
          <m:t>∆f/SCS</m:t>
        </m:r>
      </m:oMath>
      <w:r>
        <w:t xml:space="preserve">. The accuracy of the estimator depends on the ratio of the phase shift between two symbols and the noise. Because the phase shift scales as  </w:t>
      </w:r>
      <m:oMath>
        <m:r>
          <w:rPr>
            <w:rFonts w:ascii="Cambria Math" w:hAnsi="Cambria Math"/>
          </w:rPr>
          <m:t>∆f/SCS</m:t>
        </m:r>
      </m:oMath>
      <w:r>
        <w:t xml:space="preserve">, so does the accuracy. In other words, for a fixed relative error </w:t>
      </w:r>
      <m:oMath>
        <m:r>
          <w:rPr>
            <w:rFonts w:ascii="Cambria Math" w:hAnsi="Cambria Math"/>
          </w:rPr>
          <m:t>∆f/SCS</m:t>
        </m:r>
      </m:oMath>
      <w:r>
        <w:t xml:space="preserve">  of x%, a system with a lower SCS tolerates a lower absolute frequency error </w:t>
      </w:r>
      <m:oMath>
        <m:r>
          <w:rPr>
            <w:rFonts w:ascii="Cambria Math" w:hAnsi="Cambria Math"/>
          </w:rPr>
          <m:t>∆f</m:t>
        </m:r>
      </m:oMath>
      <w:r>
        <w:t xml:space="preserve"> in Hz.</w:t>
      </w:r>
    </w:p>
    <w:p w14:paraId="7B73AC78" w14:textId="77777777" w:rsidR="005C0997" w:rsidRDefault="005C0997" w:rsidP="005C0997">
      <w:pPr>
        <w:pStyle w:val="BodyText"/>
      </w:pPr>
      <w:r>
        <w:t xml:space="preserve">Clearly, it is the ratio of the frequency error </w:t>
      </w:r>
      <m:oMath>
        <m:r>
          <w:rPr>
            <w:rFonts w:ascii="Cambria Math" w:hAnsi="Cambria Math"/>
          </w:rPr>
          <m:t>∆f</m:t>
        </m:r>
      </m:oMath>
      <w:r w:rsidDel="00122770">
        <w:t xml:space="preserve"> </w:t>
      </w:r>
      <w:r>
        <w:t xml:space="preserve">compared to the SCS that matters. There are several sources of frequency errors, e.g. inter-gNB frequency accuracy, UE initial frequency accuracy, UE frequency drift and Doppler shift, all which scales with the carrier frequency. Thus, to keep the ratio </w:t>
      </w:r>
      <m:oMath>
        <m:r>
          <w:rPr>
            <w:rFonts w:ascii="Cambria Math" w:hAnsi="Cambria Math"/>
          </w:rPr>
          <m:t>∆f/SCS</m:t>
        </m:r>
      </m:oMath>
      <w:r>
        <w:t xml:space="preserve"> similar at different carrier frequencies, the SCS needs to scale accordingly. Keeping this in mind, we can compute the SCS at 60 GHz that would give the same ratio as for some typical carrier frequency and SCS combinations.</w:t>
      </w:r>
    </w:p>
    <w:p w14:paraId="1FAC7986" w14:textId="35E870E3" w:rsidR="005C0997" w:rsidRPr="00A14B11" w:rsidRDefault="005C0997" w:rsidP="005C0997">
      <w:pPr>
        <w:pStyle w:val="TF"/>
        <w:keepLines w:val="0"/>
        <w:rPr>
          <w:b w:val="0"/>
          <w:bCs/>
        </w:rPr>
      </w:pPr>
      <w:r w:rsidRPr="00F676BA">
        <w:rPr>
          <w:lang w:val="en-US"/>
        </w:rPr>
        <w:t xml:space="preserve">Figure </w:t>
      </w:r>
      <w:r w:rsidRPr="00A14B11">
        <w:rPr>
          <w:b w:val="0"/>
          <w:bCs/>
        </w:rPr>
        <w:fldChar w:fldCharType="begin"/>
      </w:r>
      <w:r w:rsidRPr="00A14B11">
        <w:instrText xml:space="preserve"> SEQ Figure \* ARABIC </w:instrText>
      </w:r>
      <w:r w:rsidRPr="00A14B11">
        <w:rPr>
          <w:b w:val="0"/>
          <w:bCs/>
        </w:rPr>
        <w:fldChar w:fldCharType="separate"/>
      </w:r>
      <w:r w:rsidR="00CF206F">
        <w:rPr>
          <w:noProof/>
        </w:rPr>
        <w:t>23</w:t>
      </w:r>
      <w:r w:rsidRPr="00A14B11">
        <w:rPr>
          <w:b w:val="0"/>
          <w:bCs/>
        </w:rPr>
        <w:fldChar w:fldCharType="end"/>
      </w:r>
      <w:r w:rsidRPr="00A14B11">
        <w:t>: SCS vs carrier frequency</w:t>
      </w:r>
    </w:p>
    <w:tbl>
      <w:tblPr>
        <w:tblStyle w:val="TableGrid"/>
        <w:tblW w:w="0" w:type="auto"/>
        <w:jc w:val="center"/>
        <w:tblLook w:val="04A0" w:firstRow="1" w:lastRow="0" w:firstColumn="1" w:lastColumn="0" w:noHBand="0" w:noVBand="1"/>
      </w:tblPr>
      <w:tblGrid>
        <w:gridCol w:w="1195"/>
        <w:gridCol w:w="1939"/>
        <w:gridCol w:w="1063"/>
        <w:gridCol w:w="1063"/>
        <w:gridCol w:w="2025"/>
      </w:tblGrid>
      <w:tr w:rsidR="005C0997" w:rsidRPr="003D63C4" w14:paraId="51A6449B" w14:textId="77777777" w:rsidTr="00C76E62">
        <w:trPr>
          <w:trHeight w:val="388"/>
          <w:jc w:val="center"/>
        </w:trPr>
        <w:tc>
          <w:tcPr>
            <w:tcW w:w="1195" w:type="dxa"/>
            <w:vAlign w:val="bottom"/>
          </w:tcPr>
          <w:p w14:paraId="36BEBBF5" w14:textId="77777777" w:rsidR="005C0997" w:rsidRPr="00E45641" w:rsidRDefault="005C0997" w:rsidP="00C76E62">
            <w:pPr>
              <w:pStyle w:val="BodyText"/>
              <w:spacing w:before="40" w:after="40"/>
              <w:rPr>
                <w:rFonts w:eastAsiaTheme="minorEastAsia" w:cs="Arial"/>
                <w:b/>
                <w:color w:val="000000" w:themeColor="text1"/>
                <w:kern w:val="24"/>
              </w:rPr>
            </w:pPr>
            <w:r w:rsidRPr="00E45641">
              <w:rPr>
                <w:rFonts w:eastAsiaTheme="minorEastAsia" w:cs="Arial"/>
                <w:b/>
                <w:color w:val="000000" w:themeColor="text1"/>
                <w:kern w:val="24"/>
              </w:rPr>
              <w:t>SSB SCS</w:t>
            </w:r>
          </w:p>
        </w:tc>
        <w:tc>
          <w:tcPr>
            <w:tcW w:w="1939" w:type="dxa"/>
            <w:vAlign w:val="bottom"/>
          </w:tcPr>
          <w:p w14:paraId="4E3D7B46" w14:textId="77777777" w:rsidR="005C0997" w:rsidRPr="00E45641" w:rsidRDefault="005C0997" w:rsidP="00C76E62">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Carrier Frequency</w:t>
            </w:r>
          </w:p>
        </w:tc>
        <w:tc>
          <w:tcPr>
            <w:tcW w:w="1063" w:type="dxa"/>
            <w:vAlign w:val="bottom"/>
          </w:tcPr>
          <w:p w14:paraId="27AEFB08" w14:textId="77777777" w:rsidR="005C0997" w:rsidRPr="00E45641" w:rsidRDefault="005C0997" w:rsidP="00C76E62">
            <w:pPr>
              <w:pStyle w:val="BodyText"/>
              <w:spacing w:before="40" w:after="40"/>
              <w:jc w:val="center"/>
              <w:rPr>
                <w:rFonts w:eastAsiaTheme="minorEastAsia" w:cs="Arial"/>
                <w:b/>
                <w:color w:val="000000" w:themeColor="text1"/>
                <w:kern w:val="24"/>
              </w:rPr>
            </w:pPr>
          </w:p>
        </w:tc>
        <w:tc>
          <w:tcPr>
            <w:tcW w:w="1063" w:type="dxa"/>
            <w:vAlign w:val="bottom"/>
          </w:tcPr>
          <w:p w14:paraId="7EE12A22" w14:textId="77777777" w:rsidR="005C0997" w:rsidRPr="00E45641" w:rsidRDefault="005C0997" w:rsidP="00C76E62">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SCS</w:t>
            </w:r>
          </w:p>
        </w:tc>
        <w:tc>
          <w:tcPr>
            <w:tcW w:w="2025" w:type="dxa"/>
            <w:vAlign w:val="bottom"/>
          </w:tcPr>
          <w:p w14:paraId="1F1A5E74" w14:textId="77777777" w:rsidR="005C0997" w:rsidRPr="00E45641" w:rsidRDefault="005C0997" w:rsidP="00C76E62">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Carrier Frequency</w:t>
            </w:r>
          </w:p>
        </w:tc>
      </w:tr>
      <w:tr w:rsidR="005C0997" w:rsidRPr="003D63C4" w14:paraId="39E2074E" w14:textId="77777777" w:rsidTr="00C76E62">
        <w:trPr>
          <w:jc w:val="center"/>
        </w:trPr>
        <w:tc>
          <w:tcPr>
            <w:tcW w:w="1195" w:type="dxa"/>
            <w:vAlign w:val="bottom"/>
          </w:tcPr>
          <w:p w14:paraId="72A2DE8C" w14:textId="77777777" w:rsidR="005C0997" w:rsidRPr="00E45641" w:rsidRDefault="005C0997" w:rsidP="00C76E62">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15 kHz</w:t>
            </w:r>
          </w:p>
        </w:tc>
        <w:tc>
          <w:tcPr>
            <w:tcW w:w="1939" w:type="dxa"/>
          </w:tcPr>
          <w:p w14:paraId="6D40A4CE" w14:textId="77777777" w:rsidR="005C0997" w:rsidRPr="00E45641" w:rsidRDefault="005C0997" w:rsidP="00C76E62">
            <w:pPr>
              <w:pStyle w:val="BodyText"/>
              <w:spacing w:before="40" w:after="40"/>
              <w:jc w:val="center"/>
            </w:pPr>
            <w:r w:rsidRPr="00E45641">
              <w:t>2 GHz</w:t>
            </w:r>
          </w:p>
        </w:tc>
        <w:tc>
          <w:tcPr>
            <w:tcW w:w="1063" w:type="dxa"/>
          </w:tcPr>
          <w:p w14:paraId="63FF6E17" w14:textId="77777777" w:rsidR="005C0997" w:rsidRPr="00E45641" w:rsidRDefault="005C0997" w:rsidP="00C76E62">
            <w:pPr>
              <w:pStyle w:val="BodyText"/>
              <w:spacing w:before="40" w:after="40"/>
              <w:jc w:val="center"/>
            </w:pPr>
            <w:r w:rsidRPr="00E45641">
              <w:rPr>
                <w:rFonts w:ascii="Wingdings" w:eastAsia="Wingdings" w:hAnsi="Wingdings" w:cs="Wingdings"/>
              </w:rPr>
              <w:t>ó</w:t>
            </w:r>
          </w:p>
        </w:tc>
        <w:tc>
          <w:tcPr>
            <w:tcW w:w="1063" w:type="dxa"/>
          </w:tcPr>
          <w:p w14:paraId="592F60EA" w14:textId="77777777" w:rsidR="005C0997" w:rsidRPr="00E45641" w:rsidRDefault="005C0997" w:rsidP="00C76E62">
            <w:pPr>
              <w:pStyle w:val="BodyText"/>
              <w:spacing w:before="40" w:after="40"/>
              <w:jc w:val="center"/>
            </w:pPr>
            <w:r w:rsidRPr="00E45641">
              <w:t>450 kHz</w:t>
            </w:r>
          </w:p>
        </w:tc>
        <w:tc>
          <w:tcPr>
            <w:tcW w:w="2025" w:type="dxa"/>
          </w:tcPr>
          <w:p w14:paraId="09A5D4D1" w14:textId="77777777" w:rsidR="005C0997" w:rsidRPr="00E45641" w:rsidRDefault="005C0997" w:rsidP="00C76E62">
            <w:pPr>
              <w:pStyle w:val="BodyText"/>
              <w:spacing w:before="40" w:after="40"/>
              <w:jc w:val="center"/>
            </w:pPr>
            <w:r w:rsidRPr="00E45641">
              <w:t>60 GHz</w:t>
            </w:r>
          </w:p>
        </w:tc>
      </w:tr>
      <w:tr w:rsidR="005C0997" w:rsidRPr="003D63C4" w14:paraId="7AC79EFA" w14:textId="77777777" w:rsidTr="00C76E62">
        <w:trPr>
          <w:jc w:val="center"/>
        </w:trPr>
        <w:tc>
          <w:tcPr>
            <w:tcW w:w="1195" w:type="dxa"/>
            <w:vAlign w:val="bottom"/>
          </w:tcPr>
          <w:p w14:paraId="2F3F09B6" w14:textId="77777777" w:rsidR="005C0997" w:rsidRPr="00E45641" w:rsidRDefault="005C0997" w:rsidP="00C76E62">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30 kHz</w:t>
            </w:r>
          </w:p>
        </w:tc>
        <w:tc>
          <w:tcPr>
            <w:tcW w:w="1939" w:type="dxa"/>
          </w:tcPr>
          <w:p w14:paraId="206464CF" w14:textId="77777777" w:rsidR="005C0997" w:rsidRPr="00E45641" w:rsidRDefault="005C0997" w:rsidP="00C76E62">
            <w:pPr>
              <w:pStyle w:val="BodyText"/>
              <w:spacing w:before="40" w:after="40"/>
              <w:jc w:val="center"/>
            </w:pPr>
            <w:r w:rsidRPr="00E45641">
              <w:t>5 GHz</w:t>
            </w:r>
          </w:p>
        </w:tc>
        <w:tc>
          <w:tcPr>
            <w:tcW w:w="1063" w:type="dxa"/>
          </w:tcPr>
          <w:p w14:paraId="467C1CEF" w14:textId="77777777" w:rsidR="005C0997" w:rsidRPr="00E45641" w:rsidRDefault="005C0997" w:rsidP="00C76E62">
            <w:pPr>
              <w:pStyle w:val="BodyText"/>
              <w:spacing w:before="40" w:after="40"/>
              <w:jc w:val="center"/>
            </w:pPr>
            <w:r w:rsidRPr="00E45641">
              <w:rPr>
                <w:rFonts w:ascii="Wingdings" w:eastAsia="Wingdings" w:hAnsi="Wingdings" w:cs="Wingdings"/>
              </w:rPr>
              <w:t>ó</w:t>
            </w:r>
          </w:p>
        </w:tc>
        <w:tc>
          <w:tcPr>
            <w:tcW w:w="1063" w:type="dxa"/>
          </w:tcPr>
          <w:p w14:paraId="226EDE75" w14:textId="77777777" w:rsidR="005C0997" w:rsidRPr="00E45641" w:rsidRDefault="005C0997" w:rsidP="00C76E62">
            <w:pPr>
              <w:pStyle w:val="BodyText"/>
              <w:spacing w:before="40" w:after="40"/>
              <w:jc w:val="center"/>
            </w:pPr>
            <w:r w:rsidRPr="00E45641">
              <w:t>360 kHz</w:t>
            </w:r>
          </w:p>
        </w:tc>
        <w:tc>
          <w:tcPr>
            <w:tcW w:w="2025" w:type="dxa"/>
          </w:tcPr>
          <w:p w14:paraId="1258FBFC" w14:textId="77777777" w:rsidR="005C0997" w:rsidRPr="00E45641" w:rsidRDefault="005C0997" w:rsidP="00C76E62">
            <w:pPr>
              <w:pStyle w:val="BodyText"/>
              <w:spacing w:before="40" w:after="40"/>
              <w:jc w:val="center"/>
            </w:pPr>
            <w:r w:rsidRPr="00E45641">
              <w:t>60 GHz</w:t>
            </w:r>
          </w:p>
        </w:tc>
      </w:tr>
      <w:tr w:rsidR="005C0997" w:rsidRPr="003D63C4" w14:paraId="37B69050" w14:textId="77777777" w:rsidTr="00C76E62">
        <w:trPr>
          <w:jc w:val="center"/>
        </w:trPr>
        <w:tc>
          <w:tcPr>
            <w:tcW w:w="1195" w:type="dxa"/>
            <w:vAlign w:val="bottom"/>
          </w:tcPr>
          <w:p w14:paraId="572AD202" w14:textId="77777777" w:rsidR="005C0997" w:rsidRPr="00E45641" w:rsidRDefault="005C0997" w:rsidP="00C76E62">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120 kHz</w:t>
            </w:r>
          </w:p>
        </w:tc>
        <w:tc>
          <w:tcPr>
            <w:tcW w:w="1939" w:type="dxa"/>
          </w:tcPr>
          <w:p w14:paraId="20C773DD" w14:textId="77777777" w:rsidR="005C0997" w:rsidRPr="00E45641" w:rsidRDefault="005C0997" w:rsidP="00C76E62">
            <w:pPr>
              <w:pStyle w:val="BodyText"/>
              <w:spacing w:before="40" w:after="40"/>
              <w:jc w:val="center"/>
            </w:pPr>
            <w:r w:rsidRPr="00E45641">
              <w:t>28 GHz</w:t>
            </w:r>
          </w:p>
        </w:tc>
        <w:tc>
          <w:tcPr>
            <w:tcW w:w="1063" w:type="dxa"/>
          </w:tcPr>
          <w:p w14:paraId="1EB4B6A9" w14:textId="77777777" w:rsidR="005C0997" w:rsidRPr="00E45641" w:rsidRDefault="005C0997" w:rsidP="00C76E62">
            <w:pPr>
              <w:pStyle w:val="BodyText"/>
              <w:spacing w:before="40" w:after="40"/>
              <w:jc w:val="center"/>
            </w:pPr>
            <w:r w:rsidRPr="00E45641">
              <w:rPr>
                <w:rFonts w:ascii="Wingdings" w:eastAsia="Wingdings" w:hAnsi="Wingdings" w:cs="Wingdings"/>
              </w:rPr>
              <w:t>ó</w:t>
            </w:r>
          </w:p>
        </w:tc>
        <w:tc>
          <w:tcPr>
            <w:tcW w:w="1063" w:type="dxa"/>
          </w:tcPr>
          <w:p w14:paraId="15D02EEA" w14:textId="77777777" w:rsidR="005C0997" w:rsidRPr="00E45641" w:rsidRDefault="005C0997" w:rsidP="00C76E62">
            <w:pPr>
              <w:pStyle w:val="BodyText"/>
              <w:spacing w:before="40" w:after="40"/>
              <w:jc w:val="center"/>
            </w:pPr>
            <w:r w:rsidRPr="00E45641">
              <w:t>258 kHz</w:t>
            </w:r>
          </w:p>
        </w:tc>
        <w:tc>
          <w:tcPr>
            <w:tcW w:w="2025" w:type="dxa"/>
          </w:tcPr>
          <w:p w14:paraId="6EA47F5A" w14:textId="77777777" w:rsidR="005C0997" w:rsidRPr="00E45641" w:rsidRDefault="005C0997" w:rsidP="00C76E62">
            <w:pPr>
              <w:pStyle w:val="BodyText"/>
              <w:spacing w:before="40" w:after="40"/>
              <w:jc w:val="center"/>
            </w:pPr>
            <w:r w:rsidRPr="00E45641">
              <w:t>60 GHz</w:t>
            </w:r>
          </w:p>
        </w:tc>
      </w:tr>
    </w:tbl>
    <w:p w14:paraId="71CB2733" w14:textId="77777777" w:rsidR="005C0997" w:rsidRDefault="005C0997" w:rsidP="005C0997">
      <w:pPr>
        <w:pStyle w:val="BodyText"/>
        <w:jc w:val="center"/>
      </w:pPr>
    </w:p>
    <w:p w14:paraId="19ABBD13" w14:textId="149F0634" w:rsidR="005C0997" w:rsidRDefault="005C0997" w:rsidP="005C0997">
      <w:pPr>
        <w:pStyle w:val="BodyText"/>
      </w:pPr>
      <w:r>
        <w:t xml:space="preserve">Based on this simple exercise we can conclude that from a frequency error perspective, a SCS of either 240 kHz or 480 kHz seems reasonable for a 60 GHz carrier frequency. As mentioned above, both the estimation- accuracy and capture range scale inversely with the SCS, i.e. a system with a smaller SCS tolerates a smaller </w:t>
      </w:r>
      <w:r>
        <w:lastRenderedPageBreak/>
        <w:t xml:space="preserve">absolute error and </w:t>
      </w:r>
      <w:r w:rsidR="00E90690">
        <w:t xml:space="preserve">has </w:t>
      </w:r>
      <w:r>
        <w:t>a smaller absolute capture range assuming a fixed relative error of x%. Thus, there is no issue with estimating the frequency error based on a signal with smaller SCS (e.g. the SSB) and applying the correction to receive or transmit a signal with a higher SCS (DL/UL data channels). That is, having a higher SCS for data channels compared to the SSB poses no problem from a frequency error point of view.</w:t>
      </w:r>
    </w:p>
    <w:p w14:paraId="6C814AF4" w14:textId="77777777" w:rsidR="005C0997" w:rsidRDefault="005C0997" w:rsidP="005C0997">
      <w:pPr>
        <w:pStyle w:val="BodyText"/>
      </w:pPr>
    </w:p>
    <w:p w14:paraId="372576AA" w14:textId="77777777" w:rsidR="005C0997" w:rsidRPr="001B36D6" w:rsidRDefault="005C0997" w:rsidP="00F94015">
      <w:pPr>
        <w:pStyle w:val="Observation"/>
        <w:overflowPunct/>
        <w:autoSpaceDE/>
        <w:autoSpaceDN/>
        <w:adjustRightInd/>
        <w:spacing w:line="259" w:lineRule="auto"/>
        <w:ind w:left="1710" w:hanging="1710"/>
        <w:textAlignment w:val="auto"/>
      </w:pPr>
      <w:bookmarkStart w:id="117" w:name="_Toc47712025"/>
      <w:r>
        <w:t>From a frequency error perspective, an SSB SCS of either 240 kHz or 480 kHz seems reasonable for a 60 GHz carrier frequency</w:t>
      </w:r>
      <w:r w:rsidRPr="001078E8">
        <w:rPr>
          <w:lang w:val="en-GB"/>
        </w:rPr>
        <w:t>.</w:t>
      </w:r>
      <w:bookmarkEnd w:id="117"/>
      <w:r w:rsidRPr="001078E8">
        <w:rPr>
          <w:lang w:val="en-GB"/>
        </w:rPr>
        <w:t xml:space="preserve"> </w:t>
      </w:r>
    </w:p>
    <w:p w14:paraId="334633B2" w14:textId="77777777" w:rsidR="005C0997" w:rsidRDefault="005C0997" w:rsidP="005C0997">
      <w:pPr>
        <w:pStyle w:val="BodyText"/>
      </w:pPr>
    </w:p>
    <w:p w14:paraId="273A08A2" w14:textId="77777777" w:rsidR="005C0997" w:rsidRPr="0035235B" w:rsidRDefault="005C0997" w:rsidP="005C0997">
      <w:pPr>
        <w:pStyle w:val="BodyText"/>
      </w:pPr>
      <w:r>
        <w:t xml:space="preserve">Another </w:t>
      </w:r>
      <w:r w:rsidRPr="00F30C07">
        <w:t xml:space="preserve">use of the SSB is for timing estimation. In general, the timing estimation error scales as 1/BW, i.e. for a fixed number of sub-carriers, the error scales as 1/SCS. This means the timing estimation error is larger if it is based on a signal with smaller SCS (given that the number of sub-carriers is the same). Apart from being used for DL reception, the UE’s timing estimation ability also affects the UL. This is reflected in that RAN4 enforces UL timing accuracy requirements on the UE. For example, 38.133 defines requirements on the UE initial transmission timing error </w:t>
      </w:r>
      <w:r>
        <w:t>in Table 7.1.2-1.</w:t>
      </w:r>
      <w:r w:rsidRPr="00F30C07">
        <w:t xml:space="preserve"> </w:t>
      </w:r>
      <w:r>
        <w:t xml:space="preserve">To put the timing error into perspective let’s augment the table with two </w:t>
      </w:r>
      <w:r w:rsidRPr="00F30C07">
        <w:t>columns for percent of 1/SCS</w:t>
      </w:r>
      <w:r w:rsidRPr="0035235B">
        <w:rPr>
          <w:vertAlign w:val="subscript"/>
        </w:rPr>
        <w:t>SSB</w:t>
      </w:r>
      <w:r w:rsidRPr="00F30C07">
        <w:t xml:space="preserve"> and percent of UL CP</w:t>
      </w:r>
      <w:r>
        <w:t xml:space="preserve">. </w:t>
      </w:r>
    </w:p>
    <w:p w14:paraId="786A07F0" w14:textId="6220A3C0" w:rsidR="005C0997" w:rsidRPr="00F676BA" w:rsidRDefault="005C0997" w:rsidP="005C0997">
      <w:pPr>
        <w:pStyle w:val="TF"/>
        <w:keepLines w:val="0"/>
        <w:rPr>
          <w:lang w:val="en-US"/>
        </w:rPr>
      </w:pPr>
      <w:r w:rsidRPr="00F676BA">
        <w:rPr>
          <w:lang w:val="en-US"/>
        </w:rPr>
        <w:t xml:space="preserve">Figure </w:t>
      </w:r>
      <w:r w:rsidRPr="00932E91">
        <w:rPr>
          <w:b w:val="0"/>
          <w:bCs/>
        </w:rPr>
        <w:fldChar w:fldCharType="begin"/>
      </w:r>
      <w:r w:rsidRPr="00932E91">
        <w:instrText xml:space="preserve"> SEQ Figure \* ARABIC </w:instrText>
      </w:r>
      <w:r w:rsidRPr="00932E91">
        <w:rPr>
          <w:b w:val="0"/>
          <w:bCs/>
        </w:rPr>
        <w:fldChar w:fldCharType="separate"/>
      </w:r>
      <w:r w:rsidR="00CF206F">
        <w:rPr>
          <w:noProof/>
        </w:rPr>
        <w:t>24</w:t>
      </w:r>
      <w:r w:rsidRPr="00932E91">
        <w:rPr>
          <w:b w:val="0"/>
          <w:bCs/>
        </w:rPr>
        <w:fldChar w:fldCharType="end"/>
      </w:r>
      <w:r w:rsidRPr="00932E91">
        <w:t xml:space="preserve">: </w:t>
      </w:r>
      <w:r>
        <w:t>Current initial UL timing error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5C0997" w14:paraId="3634C1B2" w14:textId="77777777" w:rsidTr="00C76E62">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16BF8145"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Frequency Range</w:t>
            </w:r>
          </w:p>
        </w:tc>
        <w:tc>
          <w:tcPr>
            <w:tcW w:w="783" w:type="pct"/>
            <w:tcBorders>
              <w:top w:val="single" w:sz="4" w:space="0" w:color="auto"/>
              <w:left w:val="single" w:sz="4" w:space="0" w:color="auto"/>
              <w:bottom w:val="single" w:sz="4" w:space="0" w:color="auto"/>
              <w:right w:val="single" w:sz="4" w:space="0" w:color="auto"/>
            </w:tcBorders>
            <w:vAlign w:val="center"/>
            <w:hideMark/>
          </w:tcPr>
          <w:p w14:paraId="4BCEE9F1"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SCS of SSB signals (kHz)</w:t>
            </w:r>
          </w:p>
        </w:tc>
        <w:tc>
          <w:tcPr>
            <w:tcW w:w="782" w:type="pct"/>
            <w:tcBorders>
              <w:top w:val="single" w:sz="4" w:space="0" w:color="auto"/>
              <w:left w:val="single" w:sz="4" w:space="0" w:color="auto"/>
              <w:bottom w:val="single" w:sz="4" w:space="0" w:color="auto"/>
              <w:right w:val="single" w:sz="4" w:space="0" w:color="auto"/>
            </w:tcBorders>
            <w:vAlign w:val="center"/>
            <w:hideMark/>
          </w:tcPr>
          <w:p w14:paraId="5BF18D07"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 xml:space="preserve">SCS of </w:t>
            </w:r>
            <w:r>
              <w:rPr>
                <w:rFonts w:ascii="Arial" w:hAnsi="Arial"/>
                <w:b/>
                <w:szCs w:val="22"/>
                <w:lang w:eastAsia="ko-KR"/>
              </w:rPr>
              <w:t>UL</w:t>
            </w:r>
            <w:r w:rsidRPr="00885694">
              <w:rPr>
                <w:rFonts w:ascii="Arial" w:hAnsi="Arial"/>
                <w:b/>
                <w:szCs w:val="22"/>
                <w:lang w:eastAsia="ko-KR"/>
              </w:rPr>
              <w:t xml:space="preserve"> signals (kHz)</w:t>
            </w:r>
          </w:p>
        </w:tc>
        <w:tc>
          <w:tcPr>
            <w:tcW w:w="929" w:type="pct"/>
            <w:tcBorders>
              <w:top w:val="single" w:sz="4" w:space="0" w:color="auto"/>
              <w:left w:val="single" w:sz="4" w:space="0" w:color="auto"/>
              <w:bottom w:val="single" w:sz="4" w:space="0" w:color="auto"/>
              <w:right w:val="single" w:sz="4" w:space="0" w:color="auto"/>
            </w:tcBorders>
            <w:vAlign w:val="center"/>
            <w:hideMark/>
          </w:tcPr>
          <w:p w14:paraId="5CBC3483"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T</w:t>
            </w:r>
            <w:r w:rsidRPr="00885694">
              <w:rPr>
                <w:rFonts w:ascii="Arial" w:hAnsi="Arial"/>
                <w:b/>
                <w:szCs w:val="22"/>
                <w:vertAlign w:val="subscript"/>
                <w:lang w:eastAsia="ko-KR"/>
              </w:rPr>
              <w:t xml:space="preserve">e </w:t>
            </w:r>
            <w:r w:rsidRPr="00885694">
              <w:rPr>
                <w:rFonts w:ascii="Arial" w:hAnsi="Arial"/>
                <w:b/>
                <w:szCs w:val="22"/>
                <w:vertAlign w:val="subscript"/>
                <w:lang w:eastAsia="ko-KR"/>
              </w:rPr>
              <w:br/>
            </w:r>
            <w:r w:rsidRPr="00885694">
              <w:rPr>
                <w:rFonts w:ascii="Arial" w:hAnsi="Arial"/>
                <w:b/>
                <w:szCs w:val="22"/>
                <w:lang w:eastAsia="ko-KR"/>
              </w:rPr>
              <w:t>(Ts=64Tc)</w:t>
            </w:r>
          </w:p>
        </w:tc>
        <w:tc>
          <w:tcPr>
            <w:tcW w:w="928" w:type="pct"/>
            <w:tcBorders>
              <w:top w:val="single" w:sz="4" w:space="0" w:color="auto"/>
              <w:left w:val="single" w:sz="4" w:space="0" w:color="auto"/>
              <w:bottom w:val="single" w:sz="4" w:space="0" w:color="auto"/>
              <w:right w:val="single" w:sz="4" w:space="0" w:color="auto"/>
            </w:tcBorders>
          </w:tcPr>
          <w:p w14:paraId="3B375FCE" w14:textId="77777777" w:rsidR="005C0997" w:rsidRPr="00885694" w:rsidRDefault="005C0997" w:rsidP="00C76E62">
            <w:pPr>
              <w:keepNext/>
              <w:keepLines/>
              <w:spacing w:after="0"/>
              <w:jc w:val="center"/>
              <w:rPr>
                <w:rFonts w:ascii="Arial" w:hAnsi="Arial"/>
                <w:b/>
                <w:szCs w:val="22"/>
                <w:lang w:eastAsia="ko-KR"/>
              </w:rPr>
            </w:pPr>
            <w:r w:rsidRPr="00885694">
              <w:rPr>
                <w:rFonts w:ascii="Arial" w:hAnsi="Arial"/>
                <w:b/>
                <w:szCs w:val="22"/>
                <w:lang w:eastAsia="ko-KR"/>
              </w:rPr>
              <w:t xml:space="preserve">Percent of </w:t>
            </w:r>
            <w:r w:rsidRPr="00885694">
              <w:rPr>
                <w:rFonts w:ascii="Arial" w:hAnsi="Arial"/>
                <w:b/>
                <w:szCs w:val="22"/>
                <w:lang w:eastAsia="ko-KR"/>
              </w:rPr>
              <w:br/>
              <w:t>1/SCS</w:t>
            </w:r>
            <w:r w:rsidRPr="0035235B">
              <w:rPr>
                <w:rFonts w:ascii="Arial" w:hAnsi="Arial"/>
                <w:b/>
                <w:szCs w:val="22"/>
                <w:vertAlign w:val="subscript"/>
                <w:lang w:eastAsia="ko-KR"/>
              </w:rPr>
              <w:t>SSB</w:t>
            </w:r>
          </w:p>
        </w:tc>
        <w:tc>
          <w:tcPr>
            <w:tcW w:w="927" w:type="pct"/>
            <w:tcBorders>
              <w:top w:val="single" w:sz="4" w:space="0" w:color="auto"/>
              <w:left w:val="single" w:sz="4" w:space="0" w:color="auto"/>
              <w:bottom w:val="single" w:sz="4" w:space="0" w:color="auto"/>
              <w:right w:val="single" w:sz="4" w:space="0" w:color="auto"/>
            </w:tcBorders>
          </w:tcPr>
          <w:p w14:paraId="56632FFC" w14:textId="77777777" w:rsidR="005C0997" w:rsidRPr="00885694" w:rsidRDefault="005C0997" w:rsidP="00C76E62">
            <w:pPr>
              <w:keepNext/>
              <w:keepLines/>
              <w:spacing w:after="0"/>
              <w:jc w:val="center"/>
              <w:rPr>
                <w:rFonts w:ascii="Arial" w:hAnsi="Arial"/>
                <w:b/>
                <w:szCs w:val="22"/>
                <w:lang w:eastAsia="ko-KR"/>
              </w:rPr>
            </w:pPr>
            <w:r w:rsidRPr="00885694">
              <w:rPr>
                <w:rFonts w:ascii="Arial" w:hAnsi="Arial"/>
                <w:b/>
                <w:szCs w:val="22"/>
                <w:lang w:eastAsia="ko-KR"/>
              </w:rPr>
              <w:t xml:space="preserve">Percent of </w:t>
            </w:r>
            <w:r w:rsidRPr="00885694">
              <w:rPr>
                <w:rFonts w:ascii="Arial" w:hAnsi="Arial"/>
                <w:b/>
                <w:szCs w:val="22"/>
                <w:lang w:eastAsia="ko-KR"/>
              </w:rPr>
              <w:br/>
              <w:t>UL CP</w:t>
            </w:r>
          </w:p>
        </w:tc>
      </w:tr>
      <w:tr w:rsidR="005C0997" w14:paraId="56563BC3" w14:textId="77777777" w:rsidTr="00C76E62">
        <w:trPr>
          <w:cantSplit/>
          <w:jc w:val="center"/>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20F799C4" w14:textId="77777777" w:rsidR="005C0997" w:rsidRPr="00885694" w:rsidRDefault="005C0997" w:rsidP="00C76E62">
            <w:pPr>
              <w:pStyle w:val="TAC"/>
              <w:rPr>
                <w:sz w:val="20"/>
                <w:szCs w:val="22"/>
                <w:lang w:eastAsia="ko-KR"/>
              </w:rPr>
            </w:pPr>
            <w:r w:rsidRPr="00885694">
              <w:rPr>
                <w:sz w:val="20"/>
                <w:szCs w:val="22"/>
                <w:lang w:eastAsia="ko-KR"/>
              </w:rPr>
              <w:t>1</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5D2AE59" w14:textId="77777777" w:rsidR="005C0997" w:rsidRPr="00885694" w:rsidRDefault="005C0997" w:rsidP="00C76E62">
            <w:pPr>
              <w:pStyle w:val="TAC"/>
              <w:rPr>
                <w:sz w:val="20"/>
                <w:szCs w:val="22"/>
                <w:lang w:eastAsia="ko-KR"/>
              </w:rPr>
            </w:pPr>
            <w:r w:rsidRPr="00885694">
              <w:rPr>
                <w:sz w:val="20"/>
                <w:szCs w:val="22"/>
                <w:lang w:eastAsia="ko-KR"/>
              </w:rPr>
              <w:t>15</w:t>
            </w:r>
          </w:p>
        </w:tc>
        <w:tc>
          <w:tcPr>
            <w:tcW w:w="782" w:type="pct"/>
            <w:tcBorders>
              <w:top w:val="single" w:sz="4" w:space="0" w:color="auto"/>
              <w:left w:val="single" w:sz="4" w:space="0" w:color="auto"/>
              <w:bottom w:val="single" w:sz="4" w:space="0" w:color="auto"/>
              <w:right w:val="single" w:sz="4" w:space="0" w:color="auto"/>
            </w:tcBorders>
            <w:hideMark/>
          </w:tcPr>
          <w:p w14:paraId="0E776460" w14:textId="77777777" w:rsidR="005C0997" w:rsidRPr="00885694" w:rsidRDefault="005C0997" w:rsidP="00C76E62">
            <w:pPr>
              <w:pStyle w:val="TAC"/>
              <w:rPr>
                <w:sz w:val="20"/>
                <w:szCs w:val="22"/>
                <w:lang w:eastAsia="ko-KR"/>
              </w:rPr>
            </w:pPr>
            <w:r w:rsidRPr="00885694">
              <w:rPr>
                <w:sz w:val="20"/>
                <w:szCs w:val="22"/>
                <w:lang w:eastAsia="ko-KR"/>
              </w:rPr>
              <w:t>15</w:t>
            </w:r>
          </w:p>
        </w:tc>
        <w:tc>
          <w:tcPr>
            <w:tcW w:w="929" w:type="pct"/>
            <w:tcBorders>
              <w:top w:val="single" w:sz="4" w:space="0" w:color="auto"/>
              <w:left w:val="single" w:sz="4" w:space="0" w:color="auto"/>
              <w:bottom w:val="single" w:sz="4" w:space="0" w:color="auto"/>
              <w:right w:val="single" w:sz="4" w:space="0" w:color="auto"/>
            </w:tcBorders>
            <w:hideMark/>
          </w:tcPr>
          <w:p w14:paraId="15527AC3" w14:textId="77777777" w:rsidR="005C0997" w:rsidRPr="00885694" w:rsidRDefault="005C0997" w:rsidP="00C76E62">
            <w:pPr>
              <w:pStyle w:val="TAC"/>
              <w:rPr>
                <w:sz w:val="20"/>
                <w:szCs w:val="22"/>
                <w:lang w:eastAsia="ko-KR"/>
              </w:rPr>
            </w:pPr>
            <w:r w:rsidRPr="00885694">
              <w:rPr>
                <w:sz w:val="20"/>
                <w:szCs w:val="22"/>
                <w:lang w:eastAsia="ko-KR"/>
              </w:rPr>
              <w:t>12</w:t>
            </w:r>
          </w:p>
        </w:tc>
        <w:tc>
          <w:tcPr>
            <w:tcW w:w="928" w:type="pct"/>
            <w:tcBorders>
              <w:top w:val="single" w:sz="4" w:space="0" w:color="auto"/>
              <w:left w:val="single" w:sz="4" w:space="0" w:color="auto"/>
              <w:bottom w:val="single" w:sz="4" w:space="0" w:color="auto"/>
              <w:right w:val="single" w:sz="4" w:space="0" w:color="auto"/>
            </w:tcBorders>
            <w:vAlign w:val="bottom"/>
          </w:tcPr>
          <w:p w14:paraId="183C540C" w14:textId="77777777" w:rsidR="005C0997" w:rsidRPr="00885694" w:rsidRDefault="005C0997" w:rsidP="00C76E62">
            <w:pPr>
              <w:pStyle w:val="TAC"/>
              <w:rPr>
                <w:sz w:val="20"/>
                <w:szCs w:val="22"/>
                <w:lang w:eastAsia="ko-KR"/>
              </w:rPr>
            </w:pPr>
            <w:r w:rsidRPr="00885694">
              <w:rPr>
                <w:sz w:val="20"/>
                <w:szCs w:val="22"/>
                <w:lang w:eastAsia="ko-KR"/>
              </w:rPr>
              <w:t>0.6</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5D711597" w14:textId="77777777" w:rsidR="005C0997" w:rsidRPr="00885694" w:rsidRDefault="005C0997" w:rsidP="00C76E62">
            <w:pPr>
              <w:pStyle w:val="TAC"/>
              <w:rPr>
                <w:sz w:val="20"/>
                <w:szCs w:val="22"/>
                <w:lang w:eastAsia="ko-KR"/>
              </w:rPr>
            </w:pPr>
            <w:r w:rsidRPr="00885694">
              <w:rPr>
                <w:sz w:val="20"/>
                <w:szCs w:val="22"/>
                <w:lang w:eastAsia="ko-KR"/>
              </w:rPr>
              <w:t>8</w:t>
            </w:r>
            <w:r w:rsidRPr="00885694">
              <w:rPr>
                <w:sz w:val="20"/>
                <w:szCs w:val="22"/>
                <w:lang w:val="en-US" w:eastAsia="ko-KR"/>
              </w:rPr>
              <w:t xml:space="preserve"> </w:t>
            </w:r>
            <w:r w:rsidRPr="00885694">
              <w:rPr>
                <w:sz w:val="20"/>
                <w:szCs w:val="22"/>
                <w:lang w:eastAsia="ko-KR"/>
              </w:rPr>
              <w:t>%</w:t>
            </w:r>
          </w:p>
        </w:tc>
      </w:tr>
      <w:tr w:rsidR="005C0997" w14:paraId="4907E5FC"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453F95FC"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369BED6"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ACAECDC" w14:textId="77777777" w:rsidR="005C0997" w:rsidRPr="00885694" w:rsidRDefault="005C0997" w:rsidP="00C76E62">
            <w:pPr>
              <w:pStyle w:val="TAC"/>
              <w:rPr>
                <w:sz w:val="20"/>
                <w:szCs w:val="22"/>
                <w:lang w:eastAsia="ko-KR"/>
              </w:rPr>
            </w:pPr>
            <w:r w:rsidRPr="00885694">
              <w:rPr>
                <w:sz w:val="20"/>
                <w:szCs w:val="22"/>
                <w:lang w:eastAsia="ko-KR"/>
              </w:rPr>
              <w:t>30</w:t>
            </w:r>
          </w:p>
        </w:tc>
        <w:tc>
          <w:tcPr>
            <w:tcW w:w="929" w:type="pct"/>
            <w:tcBorders>
              <w:top w:val="single" w:sz="4" w:space="0" w:color="auto"/>
              <w:left w:val="single" w:sz="4" w:space="0" w:color="auto"/>
              <w:bottom w:val="single" w:sz="4" w:space="0" w:color="auto"/>
              <w:right w:val="single" w:sz="4" w:space="0" w:color="auto"/>
            </w:tcBorders>
            <w:hideMark/>
          </w:tcPr>
          <w:p w14:paraId="55ED9AF3" w14:textId="77777777" w:rsidR="005C0997" w:rsidRPr="00885694" w:rsidRDefault="005C0997" w:rsidP="00C76E62">
            <w:pPr>
              <w:pStyle w:val="TAC"/>
              <w:rPr>
                <w:sz w:val="20"/>
                <w:szCs w:val="22"/>
                <w:lang w:eastAsia="ko-KR"/>
              </w:rPr>
            </w:pPr>
            <w:r w:rsidRPr="00885694">
              <w:rPr>
                <w:sz w:val="20"/>
                <w:szCs w:val="22"/>
                <w:lang w:eastAsia="ko-KR"/>
              </w:rPr>
              <w:t>10</w:t>
            </w:r>
          </w:p>
        </w:tc>
        <w:tc>
          <w:tcPr>
            <w:tcW w:w="928" w:type="pct"/>
            <w:tcBorders>
              <w:top w:val="single" w:sz="4" w:space="0" w:color="auto"/>
              <w:left w:val="single" w:sz="4" w:space="0" w:color="auto"/>
              <w:bottom w:val="single" w:sz="4" w:space="0" w:color="auto"/>
              <w:right w:val="single" w:sz="4" w:space="0" w:color="auto"/>
            </w:tcBorders>
            <w:vAlign w:val="bottom"/>
          </w:tcPr>
          <w:p w14:paraId="175E2CD4" w14:textId="77777777" w:rsidR="005C0997" w:rsidRPr="00885694" w:rsidRDefault="005C0997" w:rsidP="00C76E62">
            <w:pPr>
              <w:pStyle w:val="TAC"/>
              <w:rPr>
                <w:sz w:val="20"/>
                <w:szCs w:val="22"/>
                <w:lang w:eastAsia="ko-KR"/>
              </w:rPr>
            </w:pPr>
            <w:r w:rsidRPr="00885694">
              <w:rPr>
                <w:sz w:val="20"/>
                <w:szCs w:val="22"/>
                <w:lang w:eastAsia="ko-KR"/>
              </w:rPr>
              <w:t>0.5</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2EA7E9C"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r>
      <w:tr w:rsidR="005C0997" w14:paraId="40938660"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4F0EE10B"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08DC3D70"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42DAE62"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67879E05" w14:textId="77777777" w:rsidR="005C0997" w:rsidRPr="00885694" w:rsidRDefault="005C0997" w:rsidP="00C76E62">
            <w:pPr>
              <w:pStyle w:val="TAC"/>
              <w:rPr>
                <w:sz w:val="20"/>
                <w:szCs w:val="22"/>
                <w:lang w:eastAsia="ko-KR"/>
              </w:rPr>
            </w:pPr>
            <w:r w:rsidRPr="00885694">
              <w:rPr>
                <w:sz w:val="20"/>
                <w:szCs w:val="22"/>
                <w:lang w:eastAsia="ko-KR"/>
              </w:rPr>
              <w:t>10</w:t>
            </w:r>
          </w:p>
        </w:tc>
        <w:tc>
          <w:tcPr>
            <w:tcW w:w="928" w:type="pct"/>
            <w:tcBorders>
              <w:top w:val="single" w:sz="4" w:space="0" w:color="auto"/>
              <w:left w:val="single" w:sz="4" w:space="0" w:color="auto"/>
              <w:bottom w:val="single" w:sz="4" w:space="0" w:color="auto"/>
              <w:right w:val="single" w:sz="4" w:space="0" w:color="auto"/>
            </w:tcBorders>
            <w:vAlign w:val="bottom"/>
          </w:tcPr>
          <w:p w14:paraId="58C61D67" w14:textId="77777777" w:rsidR="005C0997" w:rsidRPr="00885694" w:rsidRDefault="005C0997" w:rsidP="00C76E62">
            <w:pPr>
              <w:pStyle w:val="TAC"/>
              <w:rPr>
                <w:sz w:val="20"/>
                <w:szCs w:val="22"/>
                <w:lang w:eastAsia="ko-KR"/>
              </w:rPr>
            </w:pPr>
            <w:r w:rsidRPr="00885694">
              <w:rPr>
                <w:sz w:val="20"/>
                <w:szCs w:val="22"/>
                <w:lang w:eastAsia="ko-KR"/>
              </w:rPr>
              <w:t>0.5</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4362CE5C" w14:textId="77777777" w:rsidR="005C0997" w:rsidRPr="00885694" w:rsidRDefault="005C0997" w:rsidP="00C76E62">
            <w:pPr>
              <w:pStyle w:val="TAC"/>
              <w:rPr>
                <w:sz w:val="20"/>
                <w:szCs w:val="22"/>
                <w:lang w:eastAsia="ko-KR"/>
              </w:rPr>
            </w:pPr>
            <w:r w:rsidRPr="00885694">
              <w:rPr>
                <w:sz w:val="20"/>
                <w:szCs w:val="22"/>
                <w:lang w:eastAsia="ko-KR"/>
              </w:rPr>
              <w:t>28</w:t>
            </w:r>
            <w:r w:rsidRPr="00885694">
              <w:rPr>
                <w:sz w:val="20"/>
                <w:szCs w:val="22"/>
                <w:lang w:val="en-US" w:eastAsia="ko-KR"/>
              </w:rPr>
              <w:t xml:space="preserve"> </w:t>
            </w:r>
            <w:r w:rsidRPr="00885694">
              <w:rPr>
                <w:sz w:val="20"/>
                <w:szCs w:val="22"/>
                <w:lang w:eastAsia="ko-KR"/>
              </w:rPr>
              <w:t>%</w:t>
            </w:r>
          </w:p>
        </w:tc>
      </w:tr>
      <w:tr w:rsidR="005C0997" w14:paraId="54AC0272"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7696DA60" w14:textId="77777777" w:rsidR="005C0997" w:rsidRPr="00885694" w:rsidRDefault="005C0997" w:rsidP="00C76E62">
            <w:pPr>
              <w:spacing w:after="0"/>
              <w:rPr>
                <w:rFonts w:ascii="Arial" w:hAnsi="Arial"/>
                <w:szCs w:val="22"/>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14449C59" w14:textId="77777777" w:rsidR="005C0997" w:rsidRPr="00885694" w:rsidRDefault="005C0997" w:rsidP="00C76E62">
            <w:pPr>
              <w:pStyle w:val="TAC"/>
              <w:rPr>
                <w:sz w:val="20"/>
                <w:szCs w:val="22"/>
                <w:lang w:eastAsia="ko-KR"/>
              </w:rPr>
            </w:pPr>
            <w:r w:rsidRPr="00885694">
              <w:rPr>
                <w:sz w:val="20"/>
                <w:szCs w:val="22"/>
                <w:lang w:eastAsia="ko-KR"/>
              </w:rPr>
              <w:t>30</w:t>
            </w:r>
          </w:p>
        </w:tc>
        <w:tc>
          <w:tcPr>
            <w:tcW w:w="782" w:type="pct"/>
            <w:tcBorders>
              <w:top w:val="single" w:sz="4" w:space="0" w:color="auto"/>
              <w:left w:val="single" w:sz="4" w:space="0" w:color="auto"/>
              <w:bottom w:val="single" w:sz="4" w:space="0" w:color="auto"/>
              <w:right w:val="single" w:sz="4" w:space="0" w:color="auto"/>
            </w:tcBorders>
            <w:hideMark/>
          </w:tcPr>
          <w:p w14:paraId="272EC565" w14:textId="77777777" w:rsidR="005C0997" w:rsidRPr="00885694" w:rsidRDefault="005C0997" w:rsidP="00C76E62">
            <w:pPr>
              <w:pStyle w:val="TAC"/>
              <w:rPr>
                <w:sz w:val="20"/>
                <w:szCs w:val="22"/>
                <w:lang w:eastAsia="ko-KR"/>
              </w:rPr>
            </w:pPr>
            <w:r w:rsidRPr="00885694">
              <w:rPr>
                <w:sz w:val="20"/>
                <w:szCs w:val="22"/>
                <w:lang w:eastAsia="ko-KR"/>
              </w:rPr>
              <w:t>15</w:t>
            </w:r>
          </w:p>
        </w:tc>
        <w:tc>
          <w:tcPr>
            <w:tcW w:w="929" w:type="pct"/>
            <w:tcBorders>
              <w:top w:val="single" w:sz="4" w:space="0" w:color="auto"/>
              <w:left w:val="single" w:sz="4" w:space="0" w:color="auto"/>
              <w:bottom w:val="single" w:sz="4" w:space="0" w:color="auto"/>
              <w:right w:val="single" w:sz="4" w:space="0" w:color="auto"/>
            </w:tcBorders>
            <w:hideMark/>
          </w:tcPr>
          <w:p w14:paraId="48577CF9" w14:textId="77777777" w:rsidR="005C0997" w:rsidRPr="00885694" w:rsidRDefault="005C0997" w:rsidP="00C76E62">
            <w:pPr>
              <w:pStyle w:val="TAC"/>
              <w:rPr>
                <w:sz w:val="20"/>
                <w:szCs w:val="22"/>
                <w:lang w:eastAsia="ko-KR"/>
              </w:rPr>
            </w:pPr>
            <w:r w:rsidRPr="00885694">
              <w:rPr>
                <w:sz w:val="20"/>
                <w:szCs w:val="22"/>
                <w:lang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5F6228A8" w14:textId="77777777" w:rsidR="005C0997" w:rsidRPr="00885694" w:rsidRDefault="005C0997" w:rsidP="00C76E62">
            <w:pPr>
              <w:pStyle w:val="TAC"/>
              <w:rPr>
                <w:sz w:val="20"/>
                <w:szCs w:val="22"/>
                <w:lang w:eastAsia="ko-KR"/>
              </w:rPr>
            </w:pPr>
            <w:r w:rsidRPr="00885694">
              <w:rPr>
                <w:sz w:val="20"/>
                <w:szCs w:val="22"/>
                <w:lang w:eastAsia="ko-KR"/>
              </w:rPr>
              <w:t>0.8</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53BEAAD1" w14:textId="77777777" w:rsidR="005C0997" w:rsidRPr="00885694" w:rsidRDefault="005C0997" w:rsidP="00C76E62">
            <w:pPr>
              <w:pStyle w:val="TAC"/>
              <w:rPr>
                <w:sz w:val="20"/>
                <w:szCs w:val="22"/>
                <w:lang w:val="en-US" w:eastAsia="ko-KR"/>
              </w:rPr>
            </w:pPr>
            <w:r w:rsidRPr="00885694">
              <w:rPr>
                <w:sz w:val="20"/>
                <w:szCs w:val="22"/>
                <w:lang w:eastAsia="ko-KR"/>
              </w:rPr>
              <w:t>6</w:t>
            </w:r>
            <w:r w:rsidRPr="00885694">
              <w:rPr>
                <w:sz w:val="20"/>
                <w:szCs w:val="22"/>
                <w:lang w:val="en-US" w:eastAsia="ko-KR"/>
              </w:rPr>
              <w:t xml:space="preserve"> </w:t>
            </w:r>
            <w:r w:rsidRPr="00885694">
              <w:rPr>
                <w:sz w:val="20"/>
                <w:szCs w:val="22"/>
                <w:lang w:eastAsia="ko-KR"/>
              </w:rPr>
              <w:t>%</w:t>
            </w:r>
          </w:p>
        </w:tc>
      </w:tr>
      <w:tr w:rsidR="005C0997" w14:paraId="0D509957"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5E6A62E"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C821996"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61C7865" w14:textId="77777777" w:rsidR="005C0997" w:rsidRPr="00885694" w:rsidRDefault="005C0997" w:rsidP="00C76E62">
            <w:pPr>
              <w:pStyle w:val="TAC"/>
              <w:rPr>
                <w:sz w:val="20"/>
                <w:szCs w:val="22"/>
                <w:lang w:eastAsia="ko-KR"/>
              </w:rPr>
            </w:pPr>
            <w:r w:rsidRPr="00885694">
              <w:rPr>
                <w:sz w:val="20"/>
                <w:szCs w:val="22"/>
                <w:lang w:eastAsia="ko-KR"/>
              </w:rPr>
              <w:t>30</w:t>
            </w:r>
          </w:p>
        </w:tc>
        <w:tc>
          <w:tcPr>
            <w:tcW w:w="929" w:type="pct"/>
            <w:tcBorders>
              <w:top w:val="single" w:sz="4" w:space="0" w:color="auto"/>
              <w:left w:val="single" w:sz="4" w:space="0" w:color="auto"/>
              <w:bottom w:val="single" w:sz="4" w:space="0" w:color="auto"/>
              <w:right w:val="single" w:sz="4" w:space="0" w:color="auto"/>
            </w:tcBorders>
            <w:hideMark/>
          </w:tcPr>
          <w:p w14:paraId="0D43798F" w14:textId="77777777" w:rsidR="005C0997" w:rsidRPr="00885694" w:rsidRDefault="005C0997" w:rsidP="00C76E62">
            <w:pPr>
              <w:pStyle w:val="TAC"/>
              <w:rPr>
                <w:sz w:val="20"/>
                <w:szCs w:val="22"/>
                <w:lang w:eastAsia="ko-KR"/>
              </w:rPr>
            </w:pPr>
            <w:r w:rsidRPr="00885694">
              <w:rPr>
                <w:sz w:val="20"/>
                <w:szCs w:val="22"/>
                <w:lang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709B25A2" w14:textId="77777777" w:rsidR="005C0997" w:rsidRPr="00885694" w:rsidRDefault="005C0997" w:rsidP="00C76E62">
            <w:pPr>
              <w:pStyle w:val="TAC"/>
              <w:rPr>
                <w:sz w:val="20"/>
                <w:szCs w:val="22"/>
                <w:lang w:eastAsia="ko-KR"/>
              </w:rPr>
            </w:pPr>
            <w:r w:rsidRPr="00885694">
              <w:rPr>
                <w:sz w:val="20"/>
                <w:szCs w:val="22"/>
                <w:lang w:eastAsia="ko-KR"/>
              </w:rPr>
              <w:t>0.8</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0AFFAB05" w14:textId="77777777" w:rsidR="005C0997" w:rsidRPr="00885694" w:rsidRDefault="005C0997" w:rsidP="00C76E62">
            <w:pPr>
              <w:pStyle w:val="TAC"/>
              <w:rPr>
                <w:sz w:val="20"/>
                <w:szCs w:val="22"/>
                <w:lang w:eastAsia="ko-KR"/>
              </w:rPr>
            </w:pPr>
            <w:r w:rsidRPr="00885694">
              <w:rPr>
                <w:sz w:val="20"/>
                <w:szCs w:val="22"/>
                <w:lang w:eastAsia="ko-KR"/>
              </w:rPr>
              <w:t>11</w:t>
            </w:r>
            <w:r w:rsidRPr="00885694">
              <w:rPr>
                <w:sz w:val="20"/>
                <w:szCs w:val="22"/>
                <w:lang w:val="en-US" w:eastAsia="ko-KR"/>
              </w:rPr>
              <w:t xml:space="preserve"> </w:t>
            </w:r>
            <w:r w:rsidRPr="00885694">
              <w:rPr>
                <w:sz w:val="20"/>
                <w:szCs w:val="22"/>
                <w:lang w:eastAsia="ko-KR"/>
              </w:rPr>
              <w:t>%</w:t>
            </w:r>
          </w:p>
        </w:tc>
      </w:tr>
      <w:tr w:rsidR="005C0997" w14:paraId="06F2D169"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8174CC2"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60E8AA7B"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58E12220"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4FE6FF9D" w14:textId="77777777" w:rsidR="005C0997" w:rsidRPr="00885694" w:rsidRDefault="005C0997" w:rsidP="00C76E62">
            <w:pPr>
              <w:pStyle w:val="TAC"/>
              <w:rPr>
                <w:sz w:val="20"/>
                <w:szCs w:val="22"/>
                <w:lang w:eastAsia="ko-KR"/>
              </w:rPr>
            </w:pPr>
            <w:r w:rsidRPr="00885694">
              <w:rPr>
                <w:sz w:val="20"/>
                <w:szCs w:val="22"/>
                <w:lang w:eastAsia="ko-KR"/>
              </w:rPr>
              <w:t>7</w:t>
            </w:r>
          </w:p>
        </w:tc>
        <w:tc>
          <w:tcPr>
            <w:tcW w:w="928" w:type="pct"/>
            <w:tcBorders>
              <w:top w:val="single" w:sz="4" w:space="0" w:color="auto"/>
              <w:left w:val="single" w:sz="4" w:space="0" w:color="auto"/>
              <w:bottom w:val="single" w:sz="4" w:space="0" w:color="auto"/>
              <w:right w:val="single" w:sz="4" w:space="0" w:color="auto"/>
            </w:tcBorders>
            <w:vAlign w:val="bottom"/>
          </w:tcPr>
          <w:p w14:paraId="6BE909A4" w14:textId="77777777" w:rsidR="005C0997" w:rsidRPr="00885694" w:rsidRDefault="005C0997" w:rsidP="00C76E62">
            <w:pPr>
              <w:pStyle w:val="TAC"/>
              <w:rPr>
                <w:sz w:val="20"/>
                <w:szCs w:val="22"/>
                <w:lang w:eastAsia="ko-KR"/>
              </w:rPr>
            </w:pPr>
            <w:r w:rsidRPr="00885694">
              <w:rPr>
                <w:sz w:val="20"/>
                <w:szCs w:val="22"/>
                <w:lang w:eastAsia="ko-KR"/>
              </w:rPr>
              <w:t>0.7</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6623D016" w14:textId="77777777" w:rsidR="005C0997" w:rsidRPr="00885694" w:rsidRDefault="005C0997" w:rsidP="00C76E62">
            <w:pPr>
              <w:pStyle w:val="TAC"/>
              <w:rPr>
                <w:sz w:val="20"/>
                <w:szCs w:val="22"/>
                <w:lang w:eastAsia="ko-KR"/>
              </w:rPr>
            </w:pPr>
            <w:r w:rsidRPr="00885694">
              <w:rPr>
                <w:sz w:val="20"/>
                <w:szCs w:val="22"/>
                <w:lang w:eastAsia="ko-KR"/>
              </w:rPr>
              <w:t>19</w:t>
            </w:r>
            <w:r w:rsidRPr="00885694">
              <w:rPr>
                <w:sz w:val="20"/>
                <w:szCs w:val="22"/>
                <w:lang w:val="en-US" w:eastAsia="ko-KR"/>
              </w:rPr>
              <w:t xml:space="preserve"> </w:t>
            </w:r>
            <w:r w:rsidRPr="00885694">
              <w:rPr>
                <w:sz w:val="20"/>
                <w:szCs w:val="22"/>
                <w:lang w:eastAsia="ko-KR"/>
              </w:rPr>
              <w:t>%</w:t>
            </w:r>
          </w:p>
        </w:tc>
      </w:tr>
      <w:tr w:rsidR="005C0997" w14:paraId="3FFE6695" w14:textId="77777777" w:rsidTr="00C76E62">
        <w:trPr>
          <w:cantSplit/>
          <w:jc w:val="center"/>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2C584E76" w14:textId="77777777" w:rsidR="005C0997" w:rsidRPr="00885694" w:rsidRDefault="005C0997" w:rsidP="00C76E62">
            <w:pPr>
              <w:pStyle w:val="TAC"/>
              <w:rPr>
                <w:sz w:val="20"/>
                <w:szCs w:val="22"/>
                <w:lang w:eastAsia="ko-KR"/>
              </w:rPr>
            </w:pPr>
            <w:r w:rsidRPr="00885694">
              <w:rPr>
                <w:sz w:val="20"/>
                <w:szCs w:val="22"/>
                <w:lang w:eastAsia="ko-KR"/>
              </w:rPr>
              <w:t>2</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2C6C9E0" w14:textId="77777777" w:rsidR="005C0997" w:rsidRPr="00885694" w:rsidRDefault="005C0997" w:rsidP="00C76E62">
            <w:pPr>
              <w:pStyle w:val="TAC"/>
              <w:rPr>
                <w:sz w:val="20"/>
                <w:szCs w:val="22"/>
                <w:lang w:eastAsia="ko-KR"/>
              </w:rPr>
            </w:pPr>
            <w:r w:rsidRPr="00885694">
              <w:rPr>
                <w:sz w:val="20"/>
                <w:szCs w:val="22"/>
                <w:lang w:eastAsia="ko-KR"/>
              </w:rPr>
              <w:t>120</w:t>
            </w:r>
          </w:p>
        </w:tc>
        <w:tc>
          <w:tcPr>
            <w:tcW w:w="782" w:type="pct"/>
            <w:tcBorders>
              <w:top w:val="single" w:sz="4" w:space="0" w:color="auto"/>
              <w:left w:val="single" w:sz="4" w:space="0" w:color="auto"/>
              <w:bottom w:val="single" w:sz="4" w:space="0" w:color="auto"/>
              <w:right w:val="single" w:sz="4" w:space="0" w:color="auto"/>
            </w:tcBorders>
            <w:hideMark/>
          </w:tcPr>
          <w:p w14:paraId="2F3B7B61"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17F90C63" w14:textId="77777777" w:rsidR="005C0997" w:rsidRPr="00885694" w:rsidRDefault="005C0997" w:rsidP="00C76E62">
            <w:pPr>
              <w:pStyle w:val="TAC"/>
              <w:rPr>
                <w:sz w:val="20"/>
                <w:szCs w:val="22"/>
                <w:lang w:eastAsia="ko-KR"/>
              </w:rPr>
            </w:pPr>
            <w:r w:rsidRPr="00885694">
              <w:rPr>
                <w:sz w:val="20"/>
                <w:szCs w:val="22"/>
                <w:lang w:eastAsia="ko-KR"/>
              </w:rPr>
              <w:t>3.5</w:t>
            </w:r>
          </w:p>
        </w:tc>
        <w:tc>
          <w:tcPr>
            <w:tcW w:w="928" w:type="pct"/>
            <w:tcBorders>
              <w:top w:val="single" w:sz="4" w:space="0" w:color="auto"/>
              <w:left w:val="single" w:sz="4" w:space="0" w:color="auto"/>
              <w:bottom w:val="single" w:sz="4" w:space="0" w:color="auto"/>
              <w:right w:val="single" w:sz="4" w:space="0" w:color="auto"/>
            </w:tcBorders>
            <w:vAlign w:val="bottom"/>
          </w:tcPr>
          <w:p w14:paraId="485CE4C4"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2EC112E3" w14:textId="77777777" w:rsidR="005C0997" w:rsidRPr="00885694" w:rsidRDefault="005C0997" w:rsidP="00C76E62">
            <w:pPr>
              <w:pStyle w:val="TAC"/>
              <w:rPr>
                <w:sz w:val="20"/>
                <w:szCs w:val="22"/>
                <w:lang w:eastAsia="ko-KR"/>
              </w:rPr>
            </w:pPr>
            <w:r w:rsidRPr="00885694">
              <w:rPr>
                <w:sz w:val="20"/>
                <w:szCs w:val="22"/>
                <w:lang w:eastAsia="ko-KR"/>
              </w:rPr>
              <w:t>10</w:t>
            </w:r>
            <w:r w:rsidRPr="00885694">
              <w:rPr>
                <w:sz w:val="20"/>
                <w:szCs w:val="22"/>
                <w:lang w:val="en-US" w:eastAsia="ko-KR"/>
              </w:rPr>
              <w:t xml:space="preserve"> </w:t>
            </w:r>
            <w:r w:rsidRPr="00885694">
              <w:rPr>
                <w:sz w:val="20"/>
                <w:szCs w:val="22"/>
                <w:lang w:eastAsia="ko-KR"/>
              </w:rPr>
              <w:t>%</w:t>
            </w:r>
          </w:p>
        </w:tc>
      </w:tr>
      <w:tr w:rsidR="005C0997" w14:paraId="02964494"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1DB22CFC"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77484A1"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2C110076" w14:textId="77777777" w:rsidR="005C0997" w:rsidRPr="00885694" w:rsidRDefault="005C0997" w:rsidP="00C76E62">
            <w:pPr>
              <w:pStyle w:val="TAC"/>
              <w:rPr>
                <w:sz w:val="20"/>
                <w:szCs w:val="22"/>
                <w:lang w:eastAsia="ko-KR"/>
              </w:rPr>
            </w:pPr>
            <w:r w:rsidRPr="00885694">
              <w:rPr>
                <w:sz w:val="20"/>
                <w:szCs w:val="22"/>
                <w:lang w:eastAsia="ko-KR"/>
              </w:rPr>
              <w:t>120</w:t>
            </w:r>
          </w:p>
        </w:tc>
        <w:tc>
          <w:tcPr>
            <w:tcW w:w="929" w:type="pct"/>
            <w:tcBorders>
              <w:top w:val="single" w:sz="4" w:space="0" w:color="auto"/>
              <w:left w:val="single" w:sz="4" w:space="0" w:color="auto"/>
              <w:bottom w:val="single" w:sz="4" w:space="0" w:color="auto"/>
              <w:right w:val="single" w:sz="4" w:space="0" w:color="auto"/>
            </w:tcBorders>
            <w:hideMark/>
          </w:tcPr>
          <w:p w14:paraId="234B7EE5" w14:textId="77777777" w:rsidR="005C0997" w:rsidRPr="00885694" w:rsidRDefault="005C0997" w:rsidP="00C76E62">
            <w:pPr>
              <w:pStyle w:val="TAC"/>
              <w:rPr>
                <w:sz w:val="20"/>
                <w:szCs w:val="22"/>
                <w:lang w:eastAsia="ko-KR"/>
              </w:rPr>
            </w:pPr>
            <w:r w:rsidRPr="00885694">
              <w:rPr>
                <w:sz w:val="20"/>
                <w:szCs w:val="22"/>
                <w:lang w:eastAsia="ko-KR"/>
              </w:rPr>
              <w:t>3.5</w:t>
            </w:r>
          </w:p>
        </w:tc>
        <w:tc>
          <w:tcPr>
            <w:tcW w:w="928" w:type="pct"/>
            <w:tcBorders>
              <w:top w:val="single" w:sz="4" w:space="0" w:color="auto"/>
              <w:left w:val="single" w:sz="4" w:space="0" w:color="auto"/>
              <w:bottom w:val="single" w:sz="4" w:space="0" w:color="auto"/>
              <w:right w:val="single" w:sz="4" w:space="0" w:color="auto"/>
            </w:tcBorders>
            <w:vAlign w:val="bottom"/>
          </w:tcPr>
          <w:p w14:paraId="224FCA5F"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6A13544F" w14:textId="77777777" w:rsidR="005C0997" w:rsidRPr="00885694" w:rsidRDefault="005C0997" w:rsidP="00C76E62">
            <w:pPr>
              <w:pStyle w:val="TAC"/>
              <w:rPr>
                <w:sz w:val="20"/>
                <w:szCs w:val="22"/>
                <w:lang w:eastAsia="ko-KR"/>
              </w:rPr>
            </w:pPr>
            <w:r w:rsidRPr="00885694">
              <w:rPr>
                <w:sz w:val="20"/>
                <w:szCs w:val="22"/>
                <w:lang w:eastAsia="ko-KR"/>
              </w:rPr>
              <w:t>19</w:t>
            </w:r>
            <w:r w:rsidRPr="00885694">
              <w:rPr>
                <w:sz w:val="20"/>
                <w:szCs w:val="22"/>
                <w:lang w:val="en-US" w:eastAsia="ko-KR"/>
              </w:rPr>
              <w:t xml:space="preserve"> </w:t>
            </w:r>
            <w:r w:rsidRPr="00885694">
              <w:rPr>
                <w:sz w:val="20"/>
                <w:szCs w:val="22"/>
                <w:lang w:eastAsia="ko-KR"/>
              </w:rPr>
              <w:t>%</w:t>
            </w:r>
          </w:p>
        </w:tc>
      </w:tr>
      <w:tr w:rsidR="005C0997" w14:paraId="7B75F4EB"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59D18821" w14:textId="77777777" w:rsidR="005C0997" w:rsidRPr="00885694" w:rsidRDefault="005C0997" w:rsidP="00C76E62">
            <w:pPr>
              <w:spacing w:after="0"/>
              <w:rPr>
                <w:rFonts w:ascii="Arial" w:hAnsi="Arial"/>
                <w:szCs w:val="22"/>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66033D4" w14:textId="77777777" w:rsidR="005C0997" w:rsidRPr="00885694" w:rsidRDefault="005C0997" w:rsidP="00C76E62">
            <w:pPr>
              <w:pStyle w:val="TAC"/>
              <w:rPr>
                <w:sz w:val="20"/>
                <w:szCs w:val="22"/>
                <w:lang w:eastAsia="ko-KR"/>
              </w:rPr>
            </w:pPr>
            <w:r w:rsidRPr="00885694">
              <w:rPr>
                <w:sz w:val="20"/>
                <w:szCs w:val="22"/>
                <w:lang w:eastAsia="ko-KR"/>
              </w:rPr>
              <w:t>240</w:t>
            </w:r>
          </w:p>
        </w:tc>
        <w:tc>
          <w:tcPr>
            <w:tcW w:w="782" w:type="pct"/>
            <w:tcBorders>
              <w:top w:val="single" w:sz="4" w:space="0" w:color="auto"/>
              <w:left w:val="single" w:sz="4" w:space="0" w:color="auto"/>
              <w:bottom w:val="single" w:sz="4" w:space="0" w:color="auto"/>
              <w:right w:val="single" w:sz="4" w:space="0" w:color="auto"/>
            </w:tcBorders>
            <w:hideMark/>
          </w:tcPr>
          <w:p w14:paraId="43B134B1"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003F3AA1" w14:textId="77777777" w:rsidR="005C0997" w:rsidRPr="00885694" w:rsidRDefault="005C0997" w:rsidP="00C76E62">
            <w:pPr>
              <w:pStyle w:val="TAC"/>
              <w:rPr>
                <w:sz w:val="20"/>
                <w:szCs w:val="22"/>
                <w:lang w:eastAsia="ko-KR"/>
              </w:rPr>
            </w:pPr>
            <w:r w:rsidRPr="00885694">
              <w:rPr>
                <w:sz w:val="20"/>
                <w:szCs w:val="22"/>
                <w:lang w:eastAsia="ko-KR"/>
              </w:rPr>
              <w:t>3</w:t>
            </w:r>
          </w:p>
        </w:tc>
        <w:tc>
          <w:tcPr>
            <w:tcW w:w="928" w:type="pct"/>
            <w:tcBorders>
              <w:top w:val="single" w:sz="4" w:space="0" w:color="auto"/>
              <w:left w:val="single" w:sz="4" w:space="0" w:color="auto"/>
              <w:bottom w:val="single" w:sz="4" w:space="0" w:color="auto"/>
              <w:right w:val="single" w:sz="4" w:space="0" w:color="auto"/>
            </w:tcBorders>
            <w:vAlign w:val="bottom"/>
          </w:tcPr>
          <w:p w14:paraId="14B8DB2D" w14:textId="77777777" w:rsidR="005C0997" w:rsidRPr="00885694" w:rsidRDefault="005C0997" w:rsidP="00C76E62">
            <w:pPr>
              <w:pStyle w:val="TAC"/>
              <w:rPr>
                <w:sz w:val="20"/>
                <w:szCs w:val="22"/>
                <w:lang w:eastAsia="ko-KR"/>
              </w:rPr>
            </w:pPr>
            <w:r w:rsidRPr="00885694">
              <w:rPr>
                <w:sz w:val="20"/>
                <w:szCs w:val="22"/>
                <w:lang w:val="en-US" w:eastAsia="ko-KR"/>
              </w:rPr>
              <w:t>2</w:t>
            </w:r>
            <w:r w:rsidRPr="00885694">
              <w:rPr>
                <w:sz w:val="20"/>
                <w:szCs w:val="22"/>
                <w:lang w:eastAsia="ko-KR"/>
              </w:rPr>
              <w:t>.</w:t>
            </w:r>
            <w:r w:rsidRPr="00885694">
              <w:rPr>
                <w:sz w:val="20"/>
                <w:szCs w:val="22"/>
                <w:lang w:val="en-US" w:eastAsia="ko-KR"/>
              </w:rPr>
              <w:t xml:space="preserve">3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2BD1908" w14:textId="77777777" w:rsidR="005C0997" w:rsidRPr="00885694" w:rsidDel="00DE41A0" w:rsidRDefault="005C0997" w:rsidP="00C76E62">
            <w:pPr>
              <w:pStyle w:val="TAC"/>
              <w:rPr>
                <w:sz w:val="20"/>
                <w:szCs w:val="22"/>
                <w:lang w:val="en-US" w:eastAsia="ko-KR"/>
              </w:rPr>
            </w:pPr>
            <w:r w:rsidRPr="00885694">
              <w:rPr>
                <w:sz w:val="20"/>
                <w:szCs w:val="22"/>
                <w:lang w:eastAsia="ko-KR"/>
              </w:rPr>
              <w:t>8</w:t>
            </w:r>
            <w:r w:rsidRPr="00885694">
              <w:rPr>
                <w:sz w:val="20"/>
                <w:szCs w:val="22"/>
                <w:lang w:val="en-US" w:eastAsia="ko-KR"/>
              </w:rPr>
              <w:t xml:space="preserve"> </w:t>
            </w:r>
            <w:r w:rsidRPr="00885694">
              <w:rPr>
                <w:sz w:val="20"/>
                <w:szCs w:val="22"/>
                <w:lang w:eastAsia="ko-KR"/>
              </w:rPr>
              <w:t>%</w:t>
            </w:r>
          </w:p>
        </w:tc>
      </w:tr>
      <w:tr w:rsidR="005C0997" w14:paraId="74E37012"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7741C36D"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0F319C5"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9306711" w14:textId="77777777" w:rsidR="005C0997" w:rsidRPr="00885694" w:rsidRDefault="005C0997" w:rsidP="00C76E62">
            <w:pPr>
              <w:pStyle w:val="TAC"/>
              <w:rPr>
                <w:sz w:val="20"/>
                <w:szCs w:val="22"/>
                <w:lang w:eastAsia="ko-KR"/>
              </w:rPr>
            </w:pPr>
            <w:r w:rsidRPr="00885694">
              <w:rPr>
                <w:sz w:val="20"/>
                <w:szCs w:val="22"/>
                <w:lang w:eastAsia="ko-KR"/>
              </w:rPr>
              <w:t>120</w:t>
            </w:r>
          </w:p>
        </w:tc>
        <w:tc>
          <w:tcPr>
            <w:tcW w:w="929" w:type="pct"/>
            <w:tcBorders>
              <w:top w:val="single" w:sz="4" w:space="0" w:color="auto"/>
              <w:left w:val="single" w:sz="4" w:space="0" w:color="auto"/>
              <w:bottom w:val="single" w:sz="4" w:space="0" w:color="auto"/>
              <w:right w:val="single" w:sz="4" w:space="0" w:color="auto"/>
            </w:tcBorders>
            <w:hideMark/>
          </w:tcPr>
          <w:p w14:paraId="50EEE279" w14:textId="77777777" w:rsidR="005C0997" w:rsidRPr="00885694" w:rsidRDefault="005C0997" w:rsidP="00C76E62">
            <w:pPr>
              <w:pStyle w:val="TAC"/>
              <w:rPr>
                <w:sz w:val="20"/>
                <w:szCs w:val="22"/>
                <w:lang w:eastAsia="ko-KR"/>
              </w:rPr>
            </w:pPr>
            <w:r w:rsidRPr="00885694">
              <w:rPr>
                <w:sz w:val="20"/>
                <w:szCs w:val="22"/>
                <w:lang w:eastAsia="ko-KR"/>
              </w:rPr>
              <w:t>3</w:t>
            </w:r>
          </w:p>
        </w:tc>
        <w:tc>
          <w:tcPr>
            <w:tcW w:w="928" w:type="pct"/>
            <w:tcBorders>
              <w:top w:val="single" w:sz="4" w:space="0" w:color="auto"/>
              <w:left w:val="single" w:sz="4" w:space="0" w:color="auto"/>
              <w:bottom w:val="single" w:sz="4" w:space="0" w:color="auto"/>
              <w:right w:val="single" w:sz="4" w:space="0" w:color="auto"/>
            </w:tcBorders>
            <w:vAlign w:val="bottom"/>
          </w:tcPr>
          <w:p w14:paraId="777319FD" w14:textId="77777777" w:rsidR="005C0997" w:rsidRPr="00885694" w:rsidRDefault="005C0997" w:rsidP="00C76E62">
            <w:pPr>
              <w:pStyle w:val="TAC"/>
              <w:rPr>
                <w:sz w:val="20"/>
                <w:szCs w:val="22"/>
                <w:lang w:eastAsia="ko-KR"/>
              </w:rPr>
            </w:pPr>
            <w:r w:rsidRPr="00885694">
              <w:rPr>
                <w:sz w:val="20"/>
                <w:szCs w:val="22"/>
                <w:lang w:val="en-US" w:eastAsia="ko-KR"/>
              </w:rPr>
              <w:t>2</w:t>
            </w:r>
            <w:r w:rsidRPr="00885694">
              <w:rPr>
                <w:sz w:val="20"/>
                <w:szCs w:val="22"/>
                <w:lang w:eastAsia="ko-KR"/>
              </w:rPr>
              <w:t>.</w:t>
            </w:r>
            <w:r w:rsidRPr="00885694">
              <w:rPr>
                <w:sz w:val="20"/>
                <w:szCs w:val="22"/>
                <w:lang w:val="en-US" w:eastAsia="ko-KR"/>
              </w:rPr>
              <w:t xml:space="preserve">3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5B8FD8B" w14:textId="77777777" w:rsidR="005C0997" w:rsidRPr="00885694" w:rsidDel="00DE41A0" w:rsidRDefault="005C0997" w:rsidP="00C76E62">
            <w:pPr>
              <w:pStyle w:val="TAC"/>
              <w:rPr>
                <w:sz w:val="20"/>
                <w:szCs w:val="22"/>
                <w:lang w:eastAsia="ko-KR"/>
              </w:rPr>
            </w:pPr>
            <w:r w:rsidRPr="00885694">
              <w:rPr>
                <w:sz w:val="20"/>
                <w:szCs w:val="22"/>
                <w:lang w:eastAsia="ko-KR"/>
              </w:rPr>
              <w:t>17</w:t>
            </w:r>
            <w:r w:rsidRPr="00885694">
              <w:rPr>
                <w:sz w:val="20"/>
                <w:szCs w:val="22"/>
                <w:lang w:val="en-US" w:eastAsia="ko-KR"/>
              </w:rPr>
              <w:t xml:space="preserve"> </w:t>
            </w:r>
            <w:r w:rsidRPr="00885694">
              <w:rPr>
                <w:sz w:val="20"/>
                <w:szCs w:val="22"/>
                <w:lang w:eastAsia="ko-KR"/>
              </w:rPr>
              <w:t>%</w:t>
            </w:r>
          </w:p>
        </w:tc>
      </w:tr>
    </w:tbl>
    <w:p w14:paraId="544F53AE" w14:textId="77777777" w:rsidR="005C0997" w:rsidRDefault="005C0997" w:rsidP="005C0997">
      <w:pPr>
        <w:pStyle w:val="BodyText"/>
      </w:pPr>
    </w:p>
    <w:p w14:paraId="024A1ED8" w14:textId="77777777" w:rsidR="005C0997" w:rsidRDefault="005C0997" w:rsidP="005C0997">
      <w:pPr>
        <w:pStyle w:val="BodyText"/>
      </w:pPr>
      <w:r>
        <w:t xml:space="preserve">From the table we can make the following observations: </w:t>
      </w:r>
    </w:p>
    <w:p w14:paraId="708DF5C5" w14:textId="77777777" w:rsidR="005C0997" w:rsidRDefault="005C0997" w:rsidP="005C0997">
      <w:pPr>
        <w:pStyle w:val="BodyText"/>
        <w:numPr>
          <w:ilvl w:val="0"/>
          <w:numId w:val="41"/>
        </w:numPr>
      </w:pPr>
      <w:r>
        <w:t>For FR1, the timing error requirement T</w:t>
      </w:r>
      <w:r w:rsidRPr="0035235B">
        <w:rPr>
          <w:vertAlign w:val="subscript"/>
        </w:rPr>
        <w:t>e</w:t>
      </w:r>
      <w:r>
        <w:t xml:space="preserve"> scales with 1/</w:t>
      </w:r>
      <w:r w:rsidRPr="00F30C07">
        <w:t>SCS</w:t>
      </w:r>
      <w:r w:rsidRPr="0017761B">
        <w:rPr>
          <w:vertAlign w:val="subscript"/>
        </w:rPr>
        <w:t>SSB</w:t>
      </w:r>
      <w:r>
        <w:t xml:space="preserve"> as expected, but this is not the case for FR2. </w:t>
      </w:r>
    </w:p>
    <w:p w14:paraId="111A7458" w14:textId="77777777" w:rsidR="005C0997" w:rsidRDefault="005C0997" w:rsidP="005C0997">
      <w:pPr>
        <w:pStyle w:val="BodyText"/>
        <w:numPr>
          <w:ilvl w:val="0"/>
          <w:numId w:val="41"/>
        </w:numPr>
      </w:pPr>
      <w:r>
        <w:t>The error is in general below 20% of the UL CP, except for the case of 15kHz SSB and 60kHz UL.</w:t>
      </w:r>
    </w:p>
    <w:p w14:paraId="3EEDFC0E" w14:textId="77777777" w:rsidR="005C0997" w:rsidRDefault="005C0997" w:rsidP="005C0997">
      <w:pPr>
        <w:pStyle w:val="BodyText"/>
        <w:numPr>
          <w:ilvl w:val="0"/>
          <w:numId w:val="41"/>
        </w:numPr>
      </w:pPr>
      <w:r>
        <w:t>The error is always larger than 0.5% of 1/</w:t>
      </w:r>
      <w:r w:rsidRPr="00F30C07">
        <w:t>SCS</w:t>
      </w:r>
      <w:r w:rsidRPr="0017761B">
        <w:rPr>
          <w:vertAlign w:val="subscript"/>
        </w:rPr>
        <w:t>SSB</w:t>
      </w:r>
      <w:r>
        <w:t xml:space="preserve">  </w:t>
      </w:r>
    </w:p>
    <w:p w14:paraId="4AEB85BE" w14:textId="77777777" w:rsidR="005C0997" w:rsidRDefault="005C0997" w:rsidP="005C0997">
      <w:pPr>
        <w:pStyle w:val="BodyText"/>
      </w:pPr>
      <w:r>
        <w:t>According to our understanding, the reason that the timing error requirement T</w:t>
      </w:r>
      <w:r w:rsidRPr="0017761B">
        <w:rPr>
          <w:vertAlign w:val="subscript"/>
        </w:rPr>
        <w:t>e</w:t>
      </w:r>
      <w:r>
        <w:t xml:space="preserve"> doesn’t scale for FR2 is that due to UE internal interfaces there are limits on how accurately the UL timing can be set. For FR2, this limit dominates over the UE’s ability to estimate the timing, thus the error saturates at around 3 Ts.</w:t>
      </w:r>
    </w:p>
    <w:p w14:paraId="4876B000" w14:textId="77777777" w:rsidR="005C0997" w:rsidRDefault="005C0997" w:rsidP="005C0997">
      <w:pPr>
        <w:pStyle w:val="BodyText"/>
      </w:pPr>
      <w:r>
        <w:t>Next we try to extrapolate the requirements to the 52.6-71 GHz range under the assumption that the error should be less than 20% of the UL CP.</w:t>
      </w:r>
    </w:p>
    <w:p w14:paraId="0C4AD202" w14:textId="105DB32C" w:rsidR="005C0997" w:rsidRPr="00F676BA" w:rsidRDefault="005C0997" w:rsidP="005C0997">
      <w:pPr>
        <w:pStyle w:val="TF"/>
        <w:keepLines w:val="0"/>
        <w:rPr>
          <w:lang w:val="en-US"/>
        </w:rPr>
      </w:pPr>
      <w:r w:rsidRPr="00F676BA">
        <w:rPr>
          <w:lang w:val="en-US"/>
        </w:rPr>
        <w:t xml:space="preserve">Figure </w:t>
      </w:r>
      <w:r w:rsidRPr="00932E91">
        <w:rPr>
          <w:b w:val="0"/>
          <w:bCs/>
        </w:rPr>
        <w:fldChar w:fldCharType="begin"/>
      </w:r>
      <w:r w:rsidRPr="00932E91">
        <w:instrText xml:space="preserve"> SEQ Figure \* ARABIC </w:instrText>
      </w:r>
      <w:r w:rsidRPr="00932E91">
        <w:rPr>
          <w:b w:val="0"/>
          <w:bCs/>
        </w:rPr>
        <w:fldChar w:fldCharType="separate"/>
      </w:r>
      <w:r w:rsidR="00CF206F">
        <w:rPr>
          <w:noProof/>
        </w:rPr>
        <w:t>25</w:t>
      </w:r>
      <w:r w:rsidRPr="00932E91">
        <w:rPr>
          <w:b w:val="0"/>
          <w:bCs/>
        </w:rPr>
        <w:fldChar w:fldCharType="end"/>
      </w:r>
      <w:r w:rsidRPr="00932E91">
        <w:t xml:space="preserve">: </w:t>
      </w:r>
      <w:r>
        <w:t>Extrapolated initial UL timing error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5C0997" w14:paraId="43D505DD" w14:textId="77777777" w:rsidTr="00C76E62">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2D6760AF" w14:textId="77777777" w:rsidR="005C0997" w:rsidRDefault="005C0997" w:rsidP="00C76E62">
            <w:pPr>
              <w:keepNext/>
              <w:keepLines/>
              <w:spacing w:after="0"/>
              <w:jc w:val="center"/>
              <w:rPr>
                <w:lang w:eastAsia="ko-KR"/>
              </w:rPr>
            </w:pPr>
            <w:r>
              <w:rPr>
                <w:rFonts w:ascii="Arial" w:hAnsi="Arial"/>
                <w:b/>
                <w:sz w:val="18"/>
                <w:lang w:eastAsia="ko-KR"/>
              </w:rPr>
              <w:t xml:space="preserve">Frequency Range </w:t>
            </w:r>
          </w:p>
        </w:tc>
        <w:tc>
          <w:tcPr>
            <w:tcW w:w="783" w:type="pct"/>
            <w:tcBorders>
              <w:top w:val="single" w:sz="4" w:space="0" w:color="auto"/>
              <w:left w:val="single" w:sz="4" w:space="0" w:color="auto"/>
              <w:bottom w:val="single" w:sz="4" w:space="0" w:color="auto"/>
              <w:right w:val="single" w:sz="4" w:space="0" w:color="auto"/>
            </w:tcBorders>
            <w:vAlign w:val="center"/>
            <w:hideMark/>
          </w:tcPr>
          <w:p w14:paraId="71F4D7C3" w14:textId="77777777" w:rsidR="005C0997" w:rsidRDefault="005C0997" w:rsidP="00C76E62">
            <w:pPr>
              <w:keepNext/>
              <w:keepLines/>
              <w:spacing w:after="0"/>
              <w:jc w:val="center"/>
              <w:rPr>
                <w:lang w:eastAsia="ko-KR"/>
              </w:rPr>
            </w:pPr>
            <w:r>
              <w:rPr>
                <w:rFonts w:ascii="Arial" w:hAnsi="Arial"/>
                <w:b/>
                <w:sz w:val="18"/>
                <w:lang w:eastAsia="ko-KR"/>
              </w:rPr>
              <w:t>SCS of SSB signals (kHz)</w:t>
            </w:r>
          </w:p>
        </w:tc>
        <w:tc>
          <w:tcPr>
            <w:tcW w:w="782" w:type="pct"/>
            <w:tcBorders>
              <w:top w:val="single" w:sz="4" w:space="0" w:color="auto"/>
              <w:left w:val="single" w:sz="4" w:space="0" w:color="auto"/>
              <w:bottom w:val="single" w:sz="4" w:space="0" w:color="auto"/>
              <w:right w:val="single" w:sz="4" w:space="0" w:color="auto"/>
            </w:tcBorders>
            <w:vAlign w:val="center"/>
            <w:hideMark/>
          </w:tcPr>
          <w:p w14:paraId="59064AE6" w14:textId="77777777" w:rsidR="005C0997" w:rsidRDefault="005C0997" w:rsidP="00C76E62">
            <w:pPr>
              <w:keepNext/>
              <w:keepLines/>
              <w:spacing w:after="0"/>
              <w:jc w:val="center"/>
              <w:rPr>
                <w:lang w:eastAsia="ko-KR"/>
              </w:rPr>
            </w:pPr>
            <w:r>
              <w:rPr>
                <w:rFonts w:ascii="Arial" w:hAnsi="Arial"/>
                <w:b/>
                <w:sz w:val="18"/>
                <w:lang w:eastAsia="ko-KR"/>
              </w:rPr>
              <w:t>SCS of uplink signals (kHz)</w:t>
            </w:r>
          </w:p>
        </w:tc>
        <w:tc>
          <w:tcPr>
            <w:tcW w:w="929" w:type="pct"/>
            <w:tcBorders>
              <w:top w:val="single" w:sz="4" w:space="0" w:color="auto"/>
              <w:left w:val="single" w:sz="4" w:space="0" w:color="auto"/>
              <w:bottom w:val="single" w:sz="4" w:space="0" w:color="auto"/>
              <w:right w:val="single" w:sz="4" w:space="0" w:color="auto"/>
            </w:tcBorders>
            <w:vAlign w:val="center"/>
            <w:hideMark/>
          </w:tcPr>
          <w:p w14:paraId="61744B85" w14:textId="77777777" w:rsidR="005C0997" w:rsidRDefault="005C0997" w:rsidP="00C76E62">
            <w:pPr>
              <w:keepNext/>
              <w:keepLines/>
              <w:spacing w:after="0"/>
              <w:jc w:val="center"/>
              <w:rPr>
                <w:lang w:eastAsia="ko-KR"/>
              </w:rPr>
            </w:pPr>
            <w:r>
              <w:rPr>
                <w:rFonts w:ascii="Arial" w:hAnsi="Arial"/>
                <w:b/>
                <w:sz w:val="18"/>
                <w:lang w:eastAsia="ko-KR"/>
              </w:rPr>
              <w:t>T</w:t>
            </w:r>
            <w:r>
              <w:rPr>
                <w:rFonts w:ascii="Arial" w:hAnsi="Arial"/>
                <w:b/>
                <w:sz w:val="18"/>
                <w:vertAlign w:val="subscript"/>
                <w:lang w:eastAsia="ko-KR"/>
              </w:rPr>
              <w:t xml:space="preserve">e </w:t>
            </w:r>
            <w:r>
              <w:rPr>
                <w:rFonts w:ascii="Arial" w:hAnsi="Arial"/>
                <w:b/>
                <w:sz w:val="18"/>
                <w:vertAlign w:val="subscript"/>
                <w:lang w:eastAsia="ko-KR"/>
              </w:rPr>
              <w:br/>
            </w:r>
            <w:r>
              <w:rPr>
                <w:rFonts w:ascii="Arial" w:hAnsi="Arial"/>
                <w:b/>
                <w:sz w:val="16"/>
                <w:szCs w:val="18"/>
                <w:lang w:eastAsia="ko-KR"/>
              </w:rPr>
              <w:t>(</w:t>
            </w:r>
            <w:r w:rsidRPr="00932E91">
              <w:rPr>
                <w:rFonts w:ascii="Arial" w:hAnsi="Arial"/>
                <w:b/>
                <w:sz w:val="16"/>
                <w:szCs w:val="18"/>
                <w:lang w:eastAsia="ko-KR"/>
              </w:rPr>
              <w:t>Ts=64Tc</w:t>
            </w:r>
            <w:r>
              <w:rPr>
                <w:rFonts w:ascii="Arial" w:hAnsi="Arial"/>
                <w:b/>
                <w:sz w:val="16"/>
                <w:szCs w:val="18"/>
                <w:lang w:eastAsia="ko-KR"/>
              </w:rPr>
              <w:t>)</w:t>
            </w:r>
          </w:p>
        </w:tc>
        <w:tc>
          <w:tcPr>
            <w:tcW w:w="928" w:type="pct"/>
            <w:tcBorders>
              <w:top w:val="single" w:sz="4" w:space="0" w:color="auto"/>
              <w:left w:val="single" w:sz="4" w:space="0" w:color="auto"/>
              <w:bottom w:val="single" w:sz="4" w:space="0" w:color="auto"/>
              <w:right w:val="single" w:sz="4" w:space="0" w:color="auto"/>
            </w:tcBorders>
          </w:tcPr>
          <w:p w14:paraId="458211B8" w14:textId="77777777" w:rsidR="005C0997" w:rsidRDefault="005C0997" w:rsidP="00C76E62">
            <w:pPr>
              <w:keepNext/>
              <w:keepLines/>
              <w:spacing w:after="0"/>
              <w:jc w:val="center"/>
              <w:rPr>
                <w:rFonts w:ascii="Arial" w:hAnsi="Arial"/>
                <w:b/>
                <w:sz w:val="18"/>
                <w:lang w:eastAsia="ko-KR"/>
              </w:rPr>
            </w:pPr>
            <w:r>
              <w:rPr>
                <w:rFonts w:ascii="Arial" w:hAnsi="Arial"/>
                <w:b/>
                <w:sz w:val="18"/>
                <w:lang w:eastAsia="ko-KR"/>
              </w:rPr>
              <w:t xml:space="preserve">Percent of </w:t>
            </w:r>
            <w:r>
              <w:rPr>
                <w:rFonts w:ascii="Arial" w:hAnsi="Arial"/>
                <w:b/>
                <w:sz w:val="18"/>
                <w:lang w:eastAsia="ko-KR"/>
              </w:rPr>
              <w:br/>
              <w:t>1/SCS</w:t>
            </w:r>
            <w:r w:rsidRPr="0017761B">
              <w:rPr>
                <w:rFonts w:ascii="Arial" w:hAnsi="Arial"/>
                <w:b/>
                <w:sz w:val="18"/>
                <w:vertAlign w:val="subscript"/>
                <w:lang w:eastAsia="ko-KR"/>
              </w:rPr>
              <w:t>SSB</w:t>
            </w:r>
          </w:p>
        </w:tc>
        <w:tc>
          <w:tcPr>
            <w:tcW w:w="927" w:type="pct"/>
            <w:tcBorders>
              <w:top w:val="single" w:sz="4" w:space="0" w:color="auto"/>
              <w:left w:val="single" w:sz="4" w:space="0" w:color="auto"/>
              <w:bottom w:val="single" w:sz="4" w:space="0" w:color="auto"/>
              <w:right w:val="single" w:sz="4" w:space="0" w:color="auto"/>
            </w:tcBorders>
          </w:tcPr>
          <w:p w14:paraId="29EEA8F8" w14:textId="77777777" w:rsidR="005C0997" w:rsidRDefault="005C0997" w:rsidP="00C76E62">
            <w:pPr>
              <w:keepNext/>
              <w:keepLines/>
              <w:spacing w:after="0"/>
              <w:jc w:val="center"/>
              <w:rPr>
                <w:rFonts w:ascii="Arial" w:hAnsi="Arial"/>
                <w:b/>
                <w:sz w:val="18"/>
                <w:lang w:eastAsia="ko-KR"/>
              </w:rPr>
            </w:pPr>
            <w:r>
              <w:rPr>
                <w:rFonts w:ascii="Arial" w:hAnsi="Arial"/>
                <w:b/>
                <w:sz w:val="18"/>
                <w:lang w:eastAsia="ko-KR"/>
              </w:rPr>
              <w:t xml:space="preserve">Percent of </w:t>
            </w:r>
            <w:r>
              <w:rPr>
                <w:rFonts w:ascii="Arial" w:hAnsi="Arial"/>
                <w:b/>
                <w:sz w:val="18"/>
                <w:lang w:eastAsia="ko-KR"/>
              </w:rPr>
              <w:br/>
              <w:t>UL CP</w:t>
            </w:r>
          </w:p>
        </w:tc>
      </w:tr>
      <w:tr w:rsidR="005C0997" w14:paraId="27A6121D" w14:textId="77777777" w:rsidTr="00C76E62">
        <w:trPr>
          <w:cantSplit/>
          <w:jc w:val="center"/>
        </w:trPr>
        <w:tc>
          <w:tcPr>
            <w:tcW w:w="651" w:type="pct"/>
            <w:vMerge w:val="restart"/>
            <w:tcBorders>
              <w:top w:val="single" w:sz="4" w:space="0" w:color="auto"/>
              <w:left w:val="single" w:sz="4" w:space="0" w:color="auto"/>
              <w:right w:val="single" w:sz="4" w:space="0" w:color="auto"/>
            </w:tcBorders>
            <w:vAlign w:val="center"/>
            <w:hideMark/>
          </w:tcPr>
          <w:p w14:paraId="5E4ECBF8" w14:textId="77777777" w:rsidR="005C0997" w:rsidRPr="00A14B11" w:rsidRDefault="005C0997" w:rsidP="00C76E62">
            <w:pPr>
              <w:pStyle w:val="TAC"/>
              <w:rPr>
                <w:lang w:val="en-US" w:eastAsia="ko-KR"/>
              </w:rPr>
            </w:pPr>
            <w:r>
              <w:rPr>
                <w:lang w:val="en-US" w:eastAsia="ko-KR"/>
              </w:rPr>
              <w:t>52.6-71 GHz</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0FF3DD63" w14:textId="77777777" w:rsidR="005C0997" w:rsidRPr="00A14B11" w:rsidRDefault="005C0997" w:rsidP="00C76E62">
            <w:pPr>
              <w:pStyle w:val="TAC"/>
              <w:rPr>
                <w:lang w:val="en-US" w:eastAsia="ko-KR"/>
              </w:rPr>
            </w:pPr>
            <w:r>
              <w:rPr>
                <w:lang w:val="en-US" w:eastAsia="ko-KR"/>
              </w:rPr>
              <w:t>120</w:t>
            </w:r>
          </w:p>
        </w:tc>
        <w:tc>
          <w:tcPr>
            <w:tcW w:w="782" w:type="pct"/>
            <w:tcBorders>
              <w:top w:val="single" w:sz="4" w:space="0" w:color="auto"/>
              <w:left w:val="single" w:sz="4" w:space="0" w:color="auto"/>
              <w:bottom w:val="single" w:sz="4" w:space="0" w:color="auto"/>
              <w:right w:val="single" w:sz="4" w:space="0" w:color="auto"/>
            </w:tcBorders>
            <w:hideMark/>
          </w:tcPr>
          <w:p w14:paraId="1980CED9" w14:textId="77777777" w:rsidR="005C0997" w:rsidRPr="00A14B11" w:rsidRDefault="005C0997" w:rsidP="00C76E62">
            <w:pPr>
              <w:pStyle w:val="TAC"/>
              <w:rPr>
                <w:lang w:val="en-US"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7D8C10ED"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017259D9" w14:textId="77777777" w:rsidR="005C0997" w:rsidRPr="00A14B11" w:rsidRDefault="005C0997" w:rsidP="00C76E62">
            <w:pPr>
              <w:pStyle w:val="TAC"/>
              <w:rPr>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1AED9627"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05E9BEC5" w14:textId="77777777" w:rsidTr="00C76E62">
        <w:trPr>
          <w:cantSplit/>
          <w:jc w:val="center"/>
        </w:trPr>
        <w:tc>
          <w:tcPr>
            <w:tcW w:w="651" w:type="pct"/>
            <w:vMerge/>
            <w:tcBorders>
              <w:left w:val="single" w:sz="4" w:space="0" w:color="auto"/>
              <w:right w:val="single" w:sz="4" w:space="0" w:color="auto"/>
            </w:tcBorders>
            <w:vAlign w:val="center"/>
            <w:hideMark/>
          </w:tcPr>
          <w:p w14:paraId="2911AD81"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2639EA38"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6DB38F4" w14:textId="77777777" w:rsidR="005C0997" w:rsidRPr="00A14B11" w:rsidRDefault="005C0997" w:rsidP="00C76E62">
            <w:pPr>
              <w:pStyle w:val="TAC"/>
              <w:rPr>
                <w:lang w:val="en-US"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7324B939"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62E2BA53" w14:textId="77777777" w:rsidR="005C0997" w:rsidRPr="00A14B11" w:rsidRDefault="005C0997" w:rsidP="00C76E62">
            <w:pPr>
              <w:pStyle w:val="TAC"/>
              <w:rPr>
                <w:lang w:val="en-US" w:eastAsia="ko-KR"/>
              </w:rPr>
            </w:pPr>
            <w:r w:rsidRPr="00A14B11">
              <w:rPr>
                <w:highlight w:val="yellow"/>
                <w:lang w:val="en-US" w:eastAsia="ko-KR"/>
              </w:rPr>
              <w:t>0</w:t>
            </w:r>
            <w:r>
              <w:rPr>
                <w:highlight w:val="yellow"/>
                <w:lang w:val="en-US" w:eastAsia="ko-KR"/>
              </w:rPr>
              <w:t>.</w:t>
            </w:r>
            <w:r w:rsidRPr="00A14B11">
              <w:rPr>
                <w:highlight w:val="yellow"/>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2F12F911"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92C8C81" w14:textId="77777777" w:rsidTr="00C76E62">
        <w:trPr>
          <w:cantSplit/>
          <w:jc w:val="center"/>
        </w:trPr>
        <w:tc>
          <w:tcPr>
            <w:tcW w:w="651" w:type="pct"/>
            <w:vMerge/>
            <w:tcBorders>
              <w:left w:val="single" w:sz="4" w:space="0" w:color="auto"/>
              <w:right w:val="single" w:sz="4" w:space="0" w:color="auto"/>
            </w:tcBorders>
            <w:vAlign w:val="center"/>
            <w:hideMark/>
          </w:tcPr>
          <w:p w14:paraId="73484AE1"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76D863C"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FC3863B" w14:textId="77777777" w:rsidR="005C0997" w:rsidRPr="00A14B11" w:rsidRDefault="005C0997" w:rsidP="00C76E62">
            <w:pPr>
              <w:pStyle w:val="TAC"/>
              <w:rPr>
                <w:lang w:val="en-US"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0B018EDB"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55D22021" w14:textId="77777777" w:rsidR="005C0997" w:rsidRPr="00A14B11" w:rsidRDefault="005C0997" w:rsidP="00C76E62">
            <w:pPr>
              <w:pStyle w:val="TAC"/>
              <w:rPr>
                <w:lang w:val="en-US" w:eastAsia="ko-KR"/>
              </w:rPr>
            </w:pPr>
            <w:r w:rsidRPr="00A14B11">
              <w:rPr>
                <w:highlight w:val="red"/>
                <w:lang w:val="en-US" w:eastAsia="ko-KR"/>
              </w:rPr>
              <w:t>0</w:t>
            </w:r>
            <w:r>
              <w:rPr>
                <w:highlight w:val="red"/>
                <w:lang w:val="en-US" w:eastAsia="ko-KR"/>
              </w:rPr>
              <w:t>.</w:t>
            </w:r>
            <w:r w:rsidRPr="00A14B11">
              <w:rPr>
                <w:highlight w:val="red"/>
                <w:lang w:val="en-US" w:eastAsia="ko-KR"/>
              </w:rPr>
              <w:t>2 %</w:t>
            </w:r>
          </w:p>
        </w:tc>
        <w:tc>
          <w:tcPr>
            <w:tcW w:w="927" w:type="pct"/>
            <w:tcBorders>
              <w:top w:val="single" w:sz="4" w:space="0" w:color="auto"/>
              <w:left w:val="single" w:sz="4" w:space="0" w:color="auto"/>
              <w:bottom w:val="single" w:sz="4" w:space="0" w:color="auto"/>
              <w:right w:val="single" w:sz="4" w:space="0" w:color="auto"/>
            </w:tcBorders>
            <w:vAlign w:val="bottom"/>
          </w:tcPr>
          <w:p w14:paraId="79277125"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F099D59" w14:textId="77777777" w:rsidTr="00C76E62">
        <w:trPr>
          <w:cantSplit/>
          <w:jc w:val="center"/>
        </w:trPr>
        <w:tc>
          <w:tcPr>
            <w:tcW w:w="651" w:type="pct"/>
            <w:vMerge/>
            <w:tcBorders>
              <w:left w:val="single" w:sz="4" w:space="0" w:color="auto"/>
              <w:right w:val="single" w:sz="4" w:space="0" w:color="auto"/>
            </w:tcBorders>
            <w:vAlign w:val="center"/>
            <w:hideMark/>
          </w:tcPr>
          <w:p w14:paraId="3D1718A4" w14:textId="77777777" w:rsidR="005C0997" w:rsidRDefault="005C0997" w:rsidP="00C76E62">
            <w:pPr>
              <w:pStyle w:val="TAC"/>
              <w:rPr>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3A191515" w14:textId="77777777" w:rsidR="005C0997" w:rsidRPr="00A14B11" w:rsidRDefault="005C0997" w:rsidP="00C76E62">
            <w:pPr>
              <w:pStyle w:val="TAC"/>
              <w:rPr>
                <w:lang w:val="en-US" w:eastAsia="ko-KR"/>
              </w:rPr>
            </w:pPr>
            <w:r>
              <w:rPr>
                <w:lang w:val="en-US" w:eastAsia="ko-KR"/>
              </w:rPr>
              <w:t>240</w:t>
            </w:r>
          </w:p>
        </w:tc>
        <w:tc>
          <w:tcPr>
            <w:tcW w:w="782" w:type="pct"/>
            <w:tcBorders>
              <w:top w:val="single" w:sz="4" w:space="0" w:color="auto"/>
              <w:left w:val="single" w:sz="4" w:space="0" w:color="auto"/>
              <w:bottom w:val="single" w:sz="4" w:space="0" w:color="auto"/>
              <w:right w:val="single" w:sz="4" w:space="0" w:color="auto"/>
            </w:tcBorders>
            <w:hideMark/>
          </w:tcPr>
          <w:p w14:paraId="6F4AA7BC"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1E11C0B9"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2A1B4290"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2D5617B" w14:textId="77777777" w:rsidR="005C0997" w:rsidRPr="00932E9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6FE04C01" w14:textId="77777777" w:rsidTr="00C76E62">
        <w:trPr>
          <w:cantSplit/>
          <w:jc w:val="center"/>
        </w:trPr>
        <w:tc>
          <w:tcPr>
            <w:tcW w:w="651" w:type="pct"/>
            <w:vMerge/>
            <w:tcBorders>
              <w:left w:val="single" w:sz="4" w:space="0" w:color="auto"/>
              <w:right w:val="single" w:sz="4" w:space="0" w:color="auto"/>
            </w:tcBorders>
            <w:vAlign w:val="center"/>
            <w:hideMark/>
          </w:tcPr>
          <w:p w14:paraId="2EE64E4D"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456BA43"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E347176"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5CF17C87"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37433DE1" w14:textId="77777777" w:rsidR="005C0997" w:rsidRPr="00A14B11" w:rsidRDefault="005C0997" w:rsidP="00C76E62">
            <w:pPr>
              <w:pStyle w:val="TAC"/>
              <w:rPr>
                <w:highlight w:val="green"/>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29A9BDB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1E22318C" w14:textId="77777777" w:rsidTr="00C76E62">
        <w:trPr>
          <w:cantSplit/>
          <w:jc w:val="center"/>
        </w:trPr>
        <w:tc>
          <w:tcPr>
            <w:tcW w:w="651" w:type="pct"/>
            <w:vMerge/>
            <w:tcBorders>
              <w:left w:val="single" w:sz="4" w:space="0" w:color="auto"/>
              <w:right w:val="single" w:sz="4" w:space="0" w:color="auto"/>
            </w:tcBorders>
            <w:vAlign w:val="center"/>
            <w:hideMark/>
          </w:tcPr>
          <w:p w14:paraId="0AD0AE7D"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02C2A916"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0DD62E6"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4827C3FC"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38966E63" w14:textId="77777777" w:rsidR="005C0997" w:rsidRPr="00A14B11" w:rsidRDefault="005C0997" w:rsidP="00C76E62">
            <w:pPr>
              <w:pStyle w:val="TAC"/>
              <w:rPr>
                <w:lang w:val="en-US" w:eastAsia="ko-KR"/>
              </w:rPr>
            </w:pPr>
            <w:r w:rsidRPr="00A14B11">
              <w:rPr>
                <w:highlight w:val="yellow"/>
                <w:lang w:val="en-US" w:eastAsia="ko-KR"/>
              </w:rPr>
              <w:t>0</w:t>
            </w:r>
            <w:r>
              <w:rPr>
                <w:highlight w:val="yellow"/>
                <w:lang w:val="en-US" w:eastAsia="ko-KR"/>
              </w:rPr>
              <w:t>.</w:t>
            </w:r>
            <w:r w:rsidRPr="00A14B11">
              <w:rPr>
                <w:highlight w:val="yellow"/>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E159C82"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40A25C8F" w14:textId="77777777" w:rsidTr="00C76E62">
        <w:trPr>
          <w:cantSplit/>
          <w:jc w:val="center"/>
        </w:trPr>
        <w:tc>
          <w:tcPr>
            <w:tcW w:w="651" w:type="pct"/>
            <w:vMerge/>
            <w:tcBorders>
              <w:left w:val="single" w:sz="4" w:space="0" w:color="auto"/>
              <w:right w:val="single" w:sz="4" w:space="0" w:color="auto"/>
            </w:tcBorders>
            <w:vAlign w:val="center"/>
            <w:hideMark/>
          </w:tcPr>
          <w:p w14:paraId="20D38753" w14:textId="77777777" w:rsidR="005C0997" w:rsidRDefault="005C0997" w:rsidP="00C76E62">
            <w:pPr>
              <w:pStyle w:val="TAC"/>
              <w:rPr>
                <w:lang w:eastAsia="ko-KR"/>
              </w:rPr>
            </w:pPr>
          </w:p>
        </w:tc>
        <w:tc>
          <w:tcPr>
            <w:tcW w:w="783" w:type="pct"/>
            <w:vMerge w:val="restart"/>
            <w:tcBorders>
              <w:top w:val="single" w:sz="4" w:space="0" w:color="auto"/>
              <w:left w:val="single" w:sz="4" w:space="0" w:color="auto"/>
              <w:right w:val="single" w:sz="4" w:space="0" w:color="auto"/>
            </w:tcBorders>
            <w:vAlign w:val="center"/>
            <w:hideMark/>
          </w:tcPr>
          <w:p w14:paraId="6DFB4F38" w14:textId="77777777" w:rsidR="005C0997" w:rsidRPr="00A14B11" w:rsidRDefault="005C0997" w:rsidP="00C76E62">
            <w:pPr>
              <w:pStyle w:val="TAC"/>
              <w:rPr>
                <w:lang w:val="en-US" w:eastAsia="ko-KR"/>
              </w:rPr>
            </w:pPr>
            <w:r>
              <w:rPr>
                <w:lang w:val="en-US" w:eastAsia="ko-KR"/>
              </w:rPr>
              <w:t>480</w:t>
            </w:r>
          </w:p>
        </w:tc>
        <w:tc>
          <w:tcPr>
            <w:tcW w:w="782" w:type="pct"/>
            <w:tcBorders>
              <w:top w:val="single" w:sz="4" w:space="0" w:color="auto"/>
              <w:left w:val="single" w:sz="4" w:space="0" w:color="auto"/>
              <w:bottom w:val="single" w:sz="4" w:space="0" w:color="auto"/>
              <w:right w:val="single" w:sz="4" w:space="0" w:color="auto"/>
            </w:tcBorders>
            <w:hideMark/>
          </w:tcPr>
          <w:p w14:paraId="5D1B0FE7"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723DF4CB"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4DE514D1" w14:textId="77777777" w:rsidR="005C0997" w:rsidRPr="00A14B11" w:rsidRDefault="005C0997" w:rsidP="00C76E62">
            <w:pPr>
              <w:pStyle w:val="TAC"/>
              <w:rPr>
                <w:highlight w:val="green"/>
                <w:lang w:val="en-US" w:eastAsia="ko-KR"/>
              </w:rPr>
            </w:pPr>
            <w:r w:rsidRPr="00A14B11">
              <w:rPr>
                <w:highlight w:val="green"/>
                <w:lang w:val="en-US" w:eastAsia="ko-KR"/>
              </w:rPr>
              <w:t>2</w:t>
            </w:r>
            <w:r>
              <w:rPr>
                <w:highlight w:val="green"/>
                <w:lang w:val="en-US" w:eastAsia="ko-KR"/>
              </w:rPr>
              <w:t>.</w:t>
            </w:r>
            <w:r w:rsidRPr="00A14B11">
              <w:rPr>
                <w:highlight w:val="green"/>
                <w:lang w:val="en-US" w:eastAsia="ko-KR"/>
              </w:rPr>
              <w:t>8 %</w:t>
            </w:r>
          </w:p>
        </w:tc>
        <w:tc>
          <w:tcPr>
            <w:tcW w:w="927" w:type="pct"/>
            <w:tcBorders>
              <w:top w:val="single" w:sz="4" w:space="0" w:color="auto"/>
              <w:left w:val="single" w:sz="4" w:space="0" w:color="auto"/>
              <w:bottom w:val="single" w:sz="4" w:space="0" w:color="auto"/>
              <w:right w:val="single" w:sz="4" w:space="0" w:color="auto"/>
            </w:tcBorders>
            <w:vAlign w:val="bottom"/>
          </w:tcPr>
          <w:p w14:paraId="685C868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13EF513C" w14:textId="77777777" w:rsidTr="00C76E62">
        <w:trPr>
          <w:cantSplit/>
          <w:jc w:val="center"/>
        </w:trPr>
        <w:tc>
          <w:tcPr>
            <w:tcW w:w="651" w:type="pct"/>
            <w:vMerge/>
            <w:tcBorders>
              <w:left w:val="single" w:sz="4" w:space="0" w:color="auto"/>
              <w:right w:val="single" w:sz="4" w:space="0" w:color="auto"/>
            </w:tcBorders>
            <w:vAlign w:val="center"/>
            <w:hideMark/>
          </w:tcPr>
          <w:p w14:paraId="2FC5C087" w14:textId="77777777" w:rsidR="005C0997" w:rsidRDefault="005C0997" w:rsidP="00C76E62">
            <w:pPr>
              <w:spacing w:after="0"/>
              <w:rPr>
                <w:rFonts w:ascii="Arial" w:hAnsi="Arial"/>
                <w:sz w:val="18"/>
                <w:lang w:val="en-GB" w:eastAsia="ko-KR"/>
              </w:rPr>
            </w:pPr>
          </w:p>
        </w:tc>
        <w:tc>
          <w:tcPr>
            <w:tcW w:w="783" w:type="pct"/>
            <w:vMerge/>
            <w:tcBorders>
              <w:left w:val="single" w:sz="4" w:space="0" w:color="auto"/>
              <w:right w:val="single" w:sz="4" w:space="0" w:color="auto"/>
            </w:tcBorders>
            <w:vAlign w:val="center"/>
            <w:hideMark/>
          </w:tcPr>
          <w:p w14:paraId="5077C812"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E4329E4"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11AAD105"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61216157"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58A02D1B"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1150FF3" w14:textId="77777777" w:rsidTr="00C76E62">
        <w:trPr>
          <w:cantSplit/>
          <w:jc w:val="center"/>
        </w:trPr>
        <w:tc>
          <w:tcPr>
            <w:tcW w:w="651" w:type="pct"/>
            <w:vMerge/>
            <w:tcBorders>
              <w:left w:val="single" w:sz="4" w:space="0" w:color="auto"/>
              <w:right w:val="single" w:sz="4" w:space="0" w:color="auto"/>
            </w:tcBorders>
            <w:vAlign w:val="center"/>
          </w:tcPr>
          <w:p w14:paraId="5F0C17E7" w14:textId="77777777" w:rsidR="005C0997" w:rsidRDefault="005C0997" w:rsidP="00C76E62">
            <w:pPr>
              <w:spacing w:after="0"/>
              <w:rPr>
                <w:rFonts w:ascii="Arial" w:hAnsi="Arial"/>
                <w:sz w:val="18"/>
                <w:lang w:val="en-GB" w:eastAsia="ko-KR"/>
              </w:rPr>
            </w:pPr>
          </w:p>
        </w:tc>
        <w:tc>
          <w:tcPr>
            <w:tcW w:w="783" w:type="pct"/>
            <w:vMerge/>
            <w:tcBorders>
              <w:left w:val="single" w:sz="4" w:space="0" w:color="auto"/>
              <w:bottom w:val="single" w:sz="4" w:space="0" w:color="auto"/>
              <w:right w:val="single" w:sz="4" w:space="0" w:color="auto"/>
            </w:tcBorders>
            <w:vAlign w:val="center"/>
          </w:tcPr>
          <w:p w14:paraId="6DFDE017"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tcPr>
          <w:p w14:paraId="3F8AD721"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4C6BE1BB"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61BFAD7B" w14:textId="77777777" w:rsidR="005C0997" w:rsidRPr="00A14B11" w:rsidRDefault="005C0997" w:rsidP="00C76E62">
            <w:pPr>
              <w:pStyle w:val="TAC"/>
              <w:rPr>
                <w:highlight w:val="green"/>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116F2CC4"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07E93C2C" w14:textId="77777777" w:rsidTr="00C76E62">
        <w:trPr>
          <w:cantSplit/>
          <w:jc w:val="center"/>
        </w:trPr>
        <w:tc>
          <w:tcPr>
            <w:tcW w:w="651" w:type="pct"/>
            <w:vMerge/>
            <w:tcBorders>
              <w:left w:val="single" w:sz="4" w:space="0" w:color="auto"/>
              <w:right w:val="single" w:sz="4" w:space="0" w:color="auto"/>
            </w:tcBorders>
            <w:vAlign w:val="center"/>
          </w:tcPr>
          <w:p w14:paraId="5011D8AF" w14:textId="77777777" w:rsidR="005C0997" w:rsidRDefault="005C0997" w:rsidP="00C76E62">
            <w:pPr>
              <w:spacing w:after="0"/>
              <w:rPr>
                <w:rFonts w:ascii="Arial" w:hAnsi="Arial"/>
                <w:sz w:val="18"/>
                <w:lang w:val="en-GB" w:eastAsia="ko-KR"/>
              </w:rPr>
            </w:pPr>
          </w:p>
        </w:tc>
        <w:tc>
          <w:tcPr>
            <w:tcW w:w="783" w:type="pct"/>
            <w:vMerge w:val="restart"/>
            <w:tcBorders>
              <w:top w:val="single" w:sz="4" w:space="0" w:color="auto"/>
              <w:left w:val="single" w:sz="4" w:space="0" w:color="auto"/>
              <w:right w:val="single" w:sz="4" w:space="0" w:color="auto"/>
            </w:tcBorders>
            <w:vAlign w:val="center"/>
          </w:tcPr>
          <w:p w14:paraId="57B291B5" w14:textId="77777777" w:rsidR="005C0997" w:rsidRDefault="005C0997" w:rsidP="00C76E62">
            <w:pPr>
              <w:pStyle w:val="TAC"/>
              <w:rPr>
                <w:lang w:val="en-GB" w:eastAsia="ko-KR"/>
              </w:rPr>
            </w:pPr>
            <w:r>
              <w:rPr>
                <w:lang w:val="en-US" w:eastAsia="ko-KR"/>
              </w:rPr>
              <w:t>960</w:t>
            </w:r>
          </w:p>
        </w:tc>
        <w:tc>
          <w:tcPr>
            <w:tcW w:w="782" w:type="pct"/>
            <w:tcBorders>
              <w:top w:val="single" w:sz="4" w:space="0" w:color="auto"/>
              <w:left w:val="single" w:sz="4" w:space="0" w:color="auto"/>
              <w:bottom w:val="single" w:sz="4" w:space="0" w:color="auto"/>
              <w:right w:val="single" w:sz="4" w:space="0" w:color="auto"/>
            </w:tcBorders>
          </w:tcPr>
          <w:p w14:paraId="788CA850"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472203EA"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7EFD15C6" w14:textId="77777777" w:rsidR="005C0997" w:rsidRPr="00A14B11" w:rsidRDefault="005C0997" w:rsidP="00C76E62">
            <w:pPr>
              <w:pStyle w:val="TAC"/>
              <w:rPr>
                <w:highlight w:val="green"/>
                <w:lang w:val="en-US" w:eastAsia="ko-KR"/>
              </w:rPr>
            </w:pPr>
            <w:r w:rsidRPr="00A14B11">
              <w:rPr>
                <w:highlight w:val="green"/>
                <w:lang w:val="en-US" w:eastAsia="ko-KR"/>
              </w:rPr>
              <w:t>5</w:t>
            </w:r>
            <w:r>
              <w:rPr>
                <w:highlight w:val="green"/>
                <w:lang w:val="en-US" w:eastAsia="ko-KR"/>
              </w:rPr>
              <w:t>.</w:t>
            </w:r>
            <w:r w:rsidRPr="00A14B11">
              <w:rPr>
                <w:highlight w:val="green"/>
                <w:lang w:val="en-US" w:eastAsia="ko-KR"/>
              </w:rPr>
              <w:t>6 %</w:t>
            </w:r>
          </w:p>
        </w:tc>
        <w:tc>
          <w:tcPr>
            <w:tcW w:w="927" w:type="pct"/>
            <w:tcBorders>
              <w:top w:val="single" w:sz="4" w:space="0" w:color="auto"/>
              <w:left w:val="single" w:sz="4" w:space="0" w:color="auto"/>
              <w:bottom w:val="single" w:sz="4" w:space="0" w:color="auto"/>
              <w:right w:val="single" w:sz="4" w:space="0" w:color="auto"/>
            </w:tcBorders>
            <w:vAlign w:val="bottom"/>
          </w:tcPr>
          <w:p w14:paraId="4E39511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3368A17" w14:textId="77777777" w:rsidTr="00C76E62">
        <w:trPr>
          <w:cantSplit/>
          <w:jc w:val="center"/>
        </w:trPr>
        <w:tc>
          <w:tcPr>
            <w:tcW w:w="651" w:type="pct"/>
            <w:vMerge/>
            <w:tcBorders>
              <w:left w:val="single" w:sz="4" w:space="0" w:color="auto"/>
              <w:right w:val="single" w:sz="4" w:space="0" w:color="auto"/>
            </w:tcBorders>
            <w:vAlign w:val="center"/>
            <w:hideMark/>
          </w:tcPr>
          <w:p w14:paraId="19B622C7" w14:textId="77777777" w:rsidR="005C0997" w:rsidRDefault="005C0997" w:rsidP="00C76E62">
            <w:pPr>
              <w:spacing w:after="0"/>
              <w:rPr>
                <w:rFonts w:ascii="Arial" w:hAnsi="Arial"/>
                <w:sz w:val="18"/>
                <w:lang w:val="en-GB" w:eastAsia="ko-KR"/>
              </w:rPr>
            </w:pPr>
          </w:p>
        </w:tc>
        <w:tc>
          <w:tcPr>
            <w:tcW w:w="783" w:type="pct"/>
            <w:vMerge/>
            <w:tcBorders>
              <w:left w:val="single" w:sz="4" w:space="0" w:color="auto"/>
              <w:right w:val="single" w:sz="4" w:space="0" w:color="auto"/>
            </w:tcBorders>
            <w:vAlign w:val="center"/>
            <w:hideMark/>
          </w:tcPr>
          <w:p w14:paraId="7B60E802" w14:textId="77777777" w:rsidR="005C0997" w:rsidRPr="00A14B11" w:rsidRDefault="005C0997" w:rsidP="00C76E62">
            <w:pPr>
              <w:pStyle w:val="TAC"/>
              <w:rPr>
                <w:lang w:val="en-US" w:eastAsia="ko-KR"/>
              </w:rPr>
            </w:pPr>
          </w:p>
        </w:tc>
        <w:tc>
          <w:tcPr>
            <w:tcW w:w="782" w:type="pct"/>
            <w:tcBorders>
              <w:top w:val="single" w:sz="4" w:space="0" w:color="auto"/>
              <w:left w:val="single" w:sz="4" w:space="0" w:color="auto"/>
              <w:bottom w:val="single" w:sz="4" w:space="0" w:color="auto"/>
              <w:right w:val="single" w:sz="4" w:space="0" w:color="auto"/>
            </w:tcBorders>
            <w:hideMark/>
          </w:tcPr>
          <w:p w14:paraId="4FB18C03"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69552F85"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040CF8C2" w14:textId="77777777" w:rsidR="005C0997" w:rsidRPr="00A14B11" w:rsidRDefault="005C0997" w:rsidP="00C76E62">
            <w:pPr>
              <w:pStyle w:val="TAC"/>
              <w:rPr>
                <w:highlight w:val="green"/>
                <w:lang w:val="en-US" w:eastAsia="ko-KR"/>
              </w:rPr>
            </w:pPr>
            <w:r w:rsidRPr="00A14B11">
              <w:rPr>
                <w:highlight w:val="green"/>
                <w:lang w:val="en-US" w:eastAsia="ko-KR"/>
              </w:rPr>
              <w:t>2</w:t>
            </w:r>
            <w:r>
              <w:rPr>
                <w:highlight w:val="green"/>
                <w:lang w:val="en-US" w:eastAsia="ko-KR"/>
              </w:rPr>
              <w:t>.</w:t>
            </w:r>
            <w:r w:rsidRPr="00A14B11">
              <w:rPr>
                <w:highlight w:val="green"/>
                <w:lang w:val="en-US" w:eastAsia="ko-KR"/>
              </w:rPr>
              <w:t>8 %</w:t>
            </w:r>
          </w:p>
        </w:tc>
        <w:tc>
          <w:tcPr>
            <w:tcW w:w="927" w:type="pct"/>
            <w:tcBorders>
              <w:top w:val="single" w:sz="4" w:space="0" w:color="auto"/>
              <w:left w:val="single" w:sz="4" w:space="0" w:color="auto"/>
              <w:bottom w:val="single" w:sz="4" w:space="0" w:color="auto"/>
              <w:right w:val="single" w:sz="4" w:space="0" w:color="auto"/>
            </w:tcBorders>
            <w:vAlign w:val="bottom"/>
          </w:tcPr>
          <w:p w14:paraId="00AFCC20" w14:textId="77777777" w:rsidR="005C0997" w:rsidRPr="00932E91" w:rsidDel="00DE41A0"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2551D950" w14:textId="77777777" w:rsidTr="00C76E62">
        <w:trPr>
          <w:cantSplit/>
          <w:jc w:val="center"/>
        </w:trPr>
        <w:tc>
          <w:tcPr>
            <w:tcW w:w="651" w:type="pct"/>
            <w:vMerge/>
            <w:tcBorders>
              <w:left w:val="single" w:sz="4" w:space="0" w:color="auto"/>
              <w:bottom w:val="single" w:sz="4" w:space="0" w:color="auto"/>
              <w:right w:val="single" w:sz="4" w:space="0" w:color="auto"/>
            </w:tcBorders>
            <w:vAlign w:val="center"/>
            <w:hideMark/>
          </w:tcPr>
          <w:p w14:paraId="0E5C837B" w14:textId="77777777" w:rsidR="005C0997" w:rsidRDefault="005C0997" w:rsidP="00C76E62">
            <w:pPr>
              <w:spacing w:after="0"/>
              <w:rPr>
                <w:rFonts w:ascii="Arial" w:hAnsi="Arial"/>
                <w:sz w:val="18"/>
                <w:lang w:val="en-GB" w:eastAsia="ko-KR"/>
              </w:rPr>
            </w:pPr>
          </w:p>
        </w:tc>
        <w:tc>
          <w:tcPr>
            <w:tcW w:w="783" w:type="pct"/>
            <w:vMerge/>
            <w:tcBorders>
              <w:left w:val="single" w:sz="4" w:space="0" w:color="auto"/>
              <w:bottom w:val="single" w:sz="4" w:space="0" w:color="auto"/>
              <w:right w:val="single" w:sz="4" w:space="0" w:color="auto"/>
            </w:tcBorders>
            <w:vAlign w:val="center"/>
            <w:hideMark/>
          </w:tcPr>
          <w:p w14:paraId="0E2CACB9"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62EB0108"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6C938936"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7303DFBD"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6AB5110" w14:textId="77777777" w:rsidR="005C0997" w:rsidRPr="00A14B11" w:rsidDel="00DE41A0"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bl>
    <w:p w14:paraId="500A8756" w14:textId="77777777" w:rsidR="005C0997" w:rsidRDefault="005C0997" w:rsidP="005C0997">
      <w:pPr>
        <w:pStyle w:val="BodyText"/>
      </w:pPr>
    </w:p>
    <w:p w14:paraId="3EF6CDB4" w14:textId="1FBCC76C" w:rsidR="005C0997" w:rsidRDefault="005C0997" w:rsidP="005C0997">
      <w:pPr>
        <w:pStyle w:val="BodyText"/>
      </w:pPr>
      <w:r>
        <w:t>Based on this extrapolation exercise, we can observe that the required absolute error T</w:t>
      </w:r>
      <w:r w:rsidRPr="00A14B11">
        <w:rPr>
          <w:vertAlign w:val="subscript"/>
        </w:rPr>
        <w:t>e</w:t>
      </w:r>
      <w:r>
        <w:t>, is much lower than the minimum 3Ts for FR2. In addition, the requirement becomes tighter as the UL SCS increases. We can also observe that to keep the error as percent of 1/</w:t>
      </w:r>
      <w:r w:rsidRPr="00F30C07">
        <w:t>SCS</w:t>
      </w:r>
      <w:r w:rsidRPr="0017761B">
        <w:rPr>
          <w:vertAlign w:val="subscript"/>
        </w:rPr>
        <w:t>SSB</w:t>
      </w:r>
      <w:r>
        <w:t xml:space="preserve"> above the minimum in current specifications (0.5%), the UL SCS cannot be more than twice that of the SSB SCS.</w:t>
      </w:r>
    </w:p>
    <w:p w14:paraId="1596062B" w14:textId="60AAF9AB" w:rsidR="00F70018" w:rsidRDefault="00F70018" w:rsidP="005C0997">
      <w:pPr>
        <w:pStyle w:val="BodyText"/>
      </w:pPr>
      <w:r>
        <w:t>In addition</w:t>
      </w:r>
      <w:r w:rsidR="003A1EF7">
        <w:t>,</w:t>
      </w:r>
      <w:r>
        <w:t xml:space="preserve"> it should be noted that the CP also needs to </w:t>
      </w:r>
      <w:bookmarkStart w:id="118" w:name="_GoBack"/>
      <w:bookmarkEnd w:id="118"/>
      <w:r>
        <w:t xml:space="preserve">cater for other UL timing errors such as timing advance-adjustment accuracy and resolution, which also need to scale with the UL SCS. </w:t>
      </w:r>
      <w:r w:rsidR="0079266F">
        <w:t>This is further elaborated in our RAN4 contribution</w:t>
      </w:r>
      <w:r w:rsidR="00B85EA2">
        <w:t xml:space="preserve"> </w:t>
      </w:r>
      <w:r w:rsidR="00B85EA2">
        <w:rPr>
          <w:highlight w:val="yellow"/>
        </w:rPr>
        <w:fldChar w:fldCharType="begin"/>
      </w:r>
      <w:r w:rsidR="00B85EA2">
        <w:instrText xml:space="preserve"> REF _Ref47530541 \r \h </w:instrText>
      </w:r>
      <w:r w:rsidR="00B85EA2">
        <w:rPr>
          <w:highlight w:val="yellow"/>
        </w:rPr>
      </w:r>
      <w:r w:rsidR="00B85EA2">
        <w:rPr>
          <w:highlight w:val="yellow"/>
        </w:rPr>
        <w:fldChar w:fldCharType="separate"/>
      </w:r>
      <w:r w:rsidR="00CF206F">
        <w:t>[16]</w:t>
      </w:r>
      <w:r w:rsidR="00B85EA2">
        <w:rPr>
          <w:highlight w:val="yellow"/>
        </w:rPr>
        <w:fldChar w:fldCharType="end"/>
      </w:r>
      <w:r w:rsidR="0079266F">
        <w:t>.</w:t>
      </w:r>
    </w:p>
    <w:p w14:paraId="1D3E359B" w14:textId="77777777" w:rsidR="005C0997" w:rsidRDefault="005C0997" w:rsidP="005C0997">
      <w:pPr>
        <w:pStyle w:val="BodyText"/>
      </w:pPr>
    </w:p>
    <w:p w14:paraId="769B2C29" w14:textId="77777777" w:rsidR="005C0997" w:rsidRDefault="005C0997" w:rsidP="005C0997">
      <w:pPr>
        <w:pStyle w:val="Observation"/>
      </w:pPr>
      <w:bookmarkStart w:id="119" w:name="_Toc47712026"/>
      <w:r>
        <w:t>A higher UL SCS puts tighter requirements on UE UL timing accuracy. To avoid further tightening the UE requirement on UL timing error in relation to 1/SCS</w:t>
      </w:r>
      <w:r w:rsidRPr="0035235B">
        <w:rPr>
          <w:vertAlign w:val="subscript"/>
        </w:rPr>
        <w:t>SSB</w:t>
      </w:r>
      <w:r>
        <w:rPr>
          <w:vertAlign w:val="subscript"/>
        </w:rPr>
        <w:t xml:space="preserve"> </w:t>
      </w:r>
      <w:r>
        <w:t>compared to current specifications, the UL SCS should not be more than twice that of the SSB SCS. This motivates selection of UL SCS to be no greater than 480 kHz assuming the maximum SSB SCS of 240 kHz in the spec today.</w:t>
      </w:r>
      <w:bookmarkEnd w:id="119"/>
    </w:p>
    <w:p w14:paraId="4C6A80E0" w14:textId="77777777" w:rsidR="005C0997" w:rsidRDefault="005C0997" w:rsidP="002E600B">
      <w:pPr>
        <w:pStyle w:val="BodyText"/>
      </w:pPr>
    </w:p>
    <w:p w14:paraId="66A1B3A6" w14:textId="7B3D5C1F" w:rsidR="008A2C71" w:rsidRDefault="00E52095" w:rsidP="008A2C71">
      <w:pPr>
        <w:pStyle w:val="Heading2"/>
      </w:pPr>
      <w:bookmarkStart w:id="120" w:name="_Toc47530177"/>
      <w:r>
        <w:t>3</w:t>
      </w:r>
      <w:r w:rsidR="008A2C71">
        <w:t>.</w:t>
      </w:r>
      <w:r w:rsidR="005C0997">
        <w:t>4</w:t>
      </w:r>
      <w:bookmarkStart w:id="121" w:name="_Toc46307398"/>
      <w:r w:rsidR="008A2C71">
        <w:tab/>
        <w:t>Coverage and applicable deployment scenarios</w:t>
      </w:r>
      <w:bookmarkEnd w:id="120"/>
      <w:bookmarkEnd w:id="121"/>
    </w:p>
    <w:p w14:paraId="6475DFB6" w14:textId="77777777" w:rsidR="008A2C71" w:rsidRDefault="008A2C71" w:rsidP="008A2C71">
      <w:pPr>
        <w:pStyle w:val="BodyText"/>
      </w:pPr>
      <w:r>
        <w:t>With a larger SCS, the OFDM symbol duration becomes shorter which limits the accumulation of signal energy due to the shorter durations. As a result, link budget and coverage can become severely compromised.</w:t>
      </w:r>
    </w:p>
    <w:p w14:paraId="1914455A" w14:textId="7FFDB064" w:rsidR="008A2C71" w:rsidRPr="004370BD" w:rsidRDefault="008A2C71" w:rsidP="00F676BA">
      <w:pPr>
        <w:pStyle w:val="TF"/>
        <w:keepLines w:val="0"/>
        <w:spacing w:before="0" w:after="240"/>
        <w:rPr>
          <w:lang w:val="en-US"/>
        </w:rPr>
      </w:pPr>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CF206F">
        <w:rPr>
          <w:noProof/>
          <w:lang w:val="en-US"/>
        </w:rPr>
        <w:t>26</w:t>
      </w:r>
      <w:r w:rsidRPr="00731273">
        <w:rPr>
          <w:lang w:val="en-US"/>
        </w:rPr>
        <w:fldChar w:fldCharType="end"/>
      </w:r>
      <w:r w:rsidRPr="00731273">
        <w:rPr>
          <w:lang w:val="en-US"/>
        </w:rPr>
        <w:t>:</w:t>
      </w:r>
      <w:r>
        <w:rPr>
          <w:lang w:val="en-US"/>
        </w:rPr>
        <w:t xml:space="preserve"> Slot duration for differen</w:t>
      </w:r>
      <w:r w:rsidR="00EC1DA2">
        <w:rPr>
          <w:lang w:val="en-US"/>
        </w:rPr>
        <w:t>t</w:t>
      </w:r>
      <w:r>
        <w:rPr>
          <w:lang w:val="en-US"/>
        </w:rPr>
        <w:t xml:space="preserve"> </w:t>
      </w:r>
      <w:r w:rsidRPr="00731273">
        <w:rPr>
          <w:lang w:val="en-US"/>
        </w:rPr>
        <w:t>sub-carrier spacing</w:t>
      </w:r>
      <w:r>
        <w:rPr>
          <w:lang w:val="en-US"/>
        </w:rPr>
        <w:t>s</w:t>
      </w:r>
    </w:p>
    <w:tbl>
      <w:tblPr>
        <w:tblStyle w:val="TableGrid"/>
        <w:tblW w:w="0" w:type="auto"/>
        <w:tblInd w:w="625" w:type="dxa"/>
        <w:tblLook w:val="04A0" w:firstRow="1" w:lastRow="0" w:firstColumn="1" w:lastColumn="0" w:noHBand="0" w:noVBand="1"/>
      </w:tblPr>
      <w:tblGrid>
        <w:gridCol w:w="2605"/>
        <w:gridCol w:w="1170"/>
        <w:gridCol w:w="1171"/>
        <w:gridCol w:w="1171"/>
        <w:gridCol w:w="1170"/>
        <w:gridCol w:w="1171"/>
      </w:tblGrid>
      <w:tr w:rsidR="00934EAA" w:rsidRPr="003D63C4" w14:paraId="38915514" w14:textId="77777777" w:rsidTr="0035235B">
        <w:tc>
          <w:tcPr>
            <w:tcW w:w="2605" w:type="dxa"/>
            <w:vAlign w:val="bottom"/>
          </w:tcPr>
          <w:p w14:paraId="39B54751"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170" w:type="dxa"/>
            <w:vAlign w:val="bottom"/>
          </w:tcPr>
          <w:p w14:paraId="7A7DBC0C"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171" w:type="dxa"/>
            <w:vAlign w:val="bottom"/>
          </w:tcPr>
          <w:p w14:paraId="44A41F75"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171" w:type="dxa"/>
            <w:vAlign w:val="bottom"/>
          </w:tcPr>
          <w:p w14:paraId="67579229"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170" w:type="dxa"/>
            <w:vAlign w:val="bottom"/>
          </w:tcPr>
          <w:p w14:paraId="258F13C0"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171" w:type="dxa"/>
            <w:vAlign w:val="bottom"/>
          </w:tcPr>
          <w:p w14:paraId="7CF572F4"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r>
      <w:tr w:rsidR="00934EAA" w:rsidRPr="003D63C4" w14:paraId="78553CE2" w14:textId="77777777" w:rsidTr="0035235B">
        <w:tc>
          <w:tcPr>
            <w:tcW w:w="2605" w:type="dxa"/>
            <w:vAlign w:val="bottom"/>
          </w:tcPr>
          <w:p w14:paraId="3A79BF80"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Slot duration [μs]</w:t>
            </w:r>
          </w:p>
        </w:tc>
        <w:tc>
          <w:tcPr>
            <w:tcW w:w="1170" w:type="dxa"/>
            <w:vAlign w:val="bottom"/>
          </w:tcPr>
          <w:p w14:paraId="6BB4662B"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125</w:t>
            </w:r>
          </w:p>
        </w:tc>
        <w:tc>
          <w:tcPr>
            <w:tcW w:w="1171" w:type="dxa"/>
            <w:vAlign w:val="bottom"/>
          </w:tcPr>
          <w:p w14:paraId="02C06334"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62.5</w:t>
            </w:r>
          </w:p>
        </w:tc>
        <w:tc>
          <w:tcPr>
            <w:tcW w:w="1171" w:type="dxa"/>
            <w:vAlign w:val="bottom"/>
          </w:tcPr>
          <w:p w14:paraId="29AA84CE"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31.25</w:t>
            </w:r>
          </w:p>
        </w:tc>
        <w:tc>
          <w:tcPr>
            <w:tcW w:w="1170" w:type="dxa"/>
            <w:vAlign w:val="bottom"/>
          </w:tcPr>
          <w:p w14:paraId="0DB58E2F"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15.63</w:t>
            </w:r>
          </w:p>
        </w:tc>
        <w:tc>
          <w:tcPr>
            <w:tcW w:w="1171" w:type="dxa"/>
            <w:vAlign w:val="bottom"/>
          </w:tcPr>
          <w:p w14:paraId="091C6629"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7.81</w:t>
            </w:r>
          </w:p>
        </w:tc>
      </w:tr>
    </w:tbl>
    <w:p w14:paraId="790DAA00" w14:textId="77777777" w:rsidR="008A2C71" w:rsidRDefault="008A2C71" w:rsidP="008A2C71">
      <w:pPr>
        <w:pStyle w:val="BodyText"/>
      </w:pPr>
    </w:p>
    <w:p w14:paraId="1C3FC49A" w14:textId="2EC82709" w:rsidR="008A2C71" w:rsidRDefault="008A2C71" w:rsidP="008A2C71">
      <w:pPr>
        <w:pStyle w:val="BodyText"/>
      </w:pPr>
      <w:r>
        <w:t xml:space="preserve">Taking PDCCH carrying, say, 72 bits as an example. With a CORESET of three OS in duration, this PDCCH represents a </w:t>
      </w:r>
      <w:r w:rsidR="00122770">
        <w:t>11</w:t>
      </w:r>
      <w:r w:rsidR="0096054A">
        <w:t xml:space="preserve"> </w:t>
      </w:r>
      <w:r>
        <w:t xml:space="preserve">Mbps link with </w:t>
      </w:r>
      <w:r w:rsidR="00122770">
        <w:t xml:space="preserve">480 </w:t>
      </w:r>
      <w:r>
        <w:t xml:space="preserve">kHz SCS. The same PDCCH becomes </w:t>
      </w:r>
      <w:r w:rsidR="00122770">
        <w:t xml:space="preserve">21 </w:t>
      </w:r>
      <w:r>
        <w:t xml:space="preserve">and </w:t>
      </w:r>
      <w:r w:rsidR="00122770">
        <w:t xml:space="preserve">42 </w:t>
      </w:r>
      <w:r>
        <w:t xml:space="preserve">Mbps links for </w:t>
      </w:r>
      <w:r w:rsidR="00122770">
        <w:t xml:space="preserve">960 </w:t>
      </w:r>
      <w:r>
        <w:t xml:space="preserve">and </w:t>
      </w:r>
      <w:r w:rsidR="00122770">
        <w:t>1920</w:t>
      </w:r>
      <w:r>
        <w:t xml:space="preserve"> kHz SCS, respectively. At the low SINR coverage limit regime, transmission rate is directly proportional to the operating SINR. Hence, PDCCH coverage with the </w:t>
      </w:r>
      <w:r w:rsidR="00122770">
        <w:t xml:space="preserve">960 </w:t>
      </w:r>
      <w:r>
        <w:t xml:space="preserve">and </w:t>
      </w:r>
      <w:r w:rsidR="00122770">
        <w:t xml:space="preserve">1920 </w:t>
      </w:r>
      <w:r>
        <w:t xml:space="preserve">kHz SCS are 3 and 6 dB worse than that with </w:t>
      </w:r>
      <w:r w:rsidR="00122770">
        <w:t xml:space="preserve">480 </w:t>
      </w:r>
      <w:r>
        <w:t>kHz SCS. Similar coverage shortages for other fixed payload size signals (such as PSS/SSS/PBCH, PRACH, PUCCH, paging, msg2) with larger SCSs can be concluded as shown in the above analysis.</w:t>
      </w:r>
    </w:p>
    <w:p w14:paraId="34E8B795" w14:textId="229F4CFB" w:rsidR="00284C02" w:rsidRDefault="008A2C71">
      <w:pPr>
        <w:pStyle w:val="BodyText"/>
      </w:pPr>
      <w:r>
        <w:t xml:space="preserve">For variable payload size channels such as the PDSCH and the PUSCH, the importance of coherent accumulation duration can be appreciated by </w:t>
      </w:r>
      <w:r w:rsidR="00284C02">
        <w:t>con</w:t>
      </w:r>
      <w:r w:rsidR="00081C85">
        <w:t>si</w:t>
      </w:r>
      <w:r w:rsidR="00284C02">
        <w:t>dering</w:t>
      </w:r>
      <w:r w:rsidR="00284C02" w:rsidRPr="00EA0A41">
        <w:t xml:space="preserve"> </w:t>
      </w:r>
      <w:r w:rsidR="0067536F">
        <w:t xml:space="preserve">the </w:t>
      </w:r>
      <w:r w:rsidR="00284C02" w:rsidRPr="00EA0A41">
        <w:t xml:space="preserve">signal-to-ISI ratios (SIR). To this end, denote the received tap powers and delays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oMath>
      <w:r w:rsidR="00284C02" w:rsidRPr="00EA0A41">
        <w:t xml:space="preserve"> and the start of CP window by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rsidR="00284C02" w:rsidRPr="00EA0A41">
        <w:t xml:space="preserve">. </w:t>
      </w:r>
      <w:r w:rsidR="00284C02">
        <w:t>In</w:t>
      </w:r>
      <w:r w:rsidR="00C00325">
        <w:t xml:space="preserve"> </w:t>
      </w:r>
      <w:r w:rsidR="00C00325">
        <w:fldChar w:fldCharType="begin"/>
      </w:r>
      <w:r w:rsidR="00C00325">
        <w:instrText xml:space="preserve"> REF _Ref46309766 \h </w:instrText>
      </w:r>
      <w:r w:rsidR="00C00325">
        <w:fldChar w:fldCharType="separate"/>
      </w:r>
      <w:r w:rsidR="00CF206F">
        <w:t>Figure</w:t>
      </w:r>
      <w:r w:rsidR="00CF206F" w:rsidRPr="00CE0424">
        <w:t xml:space="preserve"> </w:t>
      </w:r>
      <w:r w:rsidR="00CF206F">
        <w:rPr>
          <w:noProof/>
        </w:rPr>
        <w:t>27</w:t>
      </w:r>
      <w:r w:rsidR="00C00325">
        <w:fldChar w:fldCharType="end"/>
      </w:r>
      <w:r w:rsidR="00284C02">
        <w:t xml:space="preserve">, we illustrate the differently delayed received versions of OFDM symbols X-1, X and X+1. It can be seen that, when a signal arrives before the start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rsidR="00284C02">
        <w:t xml:space="preserve">, part of symbol X+1 enters the FFT window of symbol X causing ISI. At the same time, part of the transmitted signal for symbol X is discarded resulting in loss of orthogonality. Similarly, when a signal arrives after the end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rsidR="00284C02">
        <w:t>, part of symbol X-1 enters the FFT window of symbol X causing ISI and loss of orthogonality.</w:t>
      </w:r>
    </w:p>
    <w:p w14:paraId="2DE4155A" w14:textId="77777777" w:rsidR="001C06CF" w:rsidRDefault="2F4A8F2C" w:rsidP="001C06CF">
      <w:pPr>
        <w:pStyle w:val="BodyText"/>
        <w:keepNext/>
        <w:jc w:val="center"/>
      </w:pPr>
      <w:r>
        <w:rPr>
          <w:noProof/>
        </w:rPr>
        <w:lastRenderedPageBreak/>
        <w:drawing>
          <wp:inline distT="0" distB="0" distL="0" distR="0" wp14:anchorId="72BB980F" wp14:editId="099C4161">
            <wp:extent cx="5029200" cy="1947672"/>
            <wp:effectExtent l="0" t="0" r="0" b="0"/>
            <wp:docPr id="16559116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029200" cy="1947672"/>
                    </a:xfrm>
                    <a:prstGeom prst="rect">
                      <a:avLst/>
                    </a:prstGeom>
                  </pic:spPr>
                </pic:pic>
              </a:graphicData>
            </a:graphic>
          </wp:inline>
        </w:drawing>
      </w:r>
    </w:p>
    <w:p w14:paraId="2213F570" w14:textId="3D234B7C" w:rsidR="001C06CF" w:rsidRPr="004370BD" w:rsidRDefault="001C06CF" w:rsidP="001C06CF">
      <w:pPr>
        <w:pStyle w:val="TF"/>
        <w:jc w:val="both"/>
        <w:rPr>
          <w:lang w:val="en-US"/>
        </w:rPr>
      </w:pPr>
      <w:bookmarkStart w:id="122" w:name="_Ref46309766"/>
      <w:r>
        <w:rPr>
          <w:lang w:val="en-US"/>
        </w:rPr>
        <w:t>Figure</w:t>
      </w:r>
      <w:r w:rsidRPr="00CE0424">
        <w:t xml:space="preserve"> </w:t>
      </w:r>
      <w:r w:rsidR="00462E01">
        <w:fldChar w:fldCharType="begin"/>
      </w:r>
      <w:r w:rsidR="00462E01">
        <w:instrText xml:space="preserve"> SEQ Figure \* ARABIC </w:instrText>
      </w:r>
      <w:r w:rsidR="00462E01">
        <w:fldChar w:fldCharType="separate"/>
      </w:r>
      <w:r w:rsidR="00CF206F">
        <w:rPr>
          <w:noProof/>
        </w:rPr>
        <w:t>27</w:t>
      </w:r>
      <w:r w:rsidR="00462E01">
        <w:rPr>
          <w:noProof/>
        </w:rPr>
        <w:fldChar w:fldCharType="end"/>
      </w:r>
      <w:bookmarkEnd w:id="122"/>
      <w:r w:rsidRPr="00CE0424">
        <w:t>:</w:t>
      </w:r>
      <w:r>
        <w:rPr>
          <w:lang w:val="en-US"/>
        </w:rPr>
        <w:t xml:space="preserve"> Analysis of inter-symbol interferences from symbol X-1 and X+1 to and loss of orthogonality in symbol X.</w:t>
      </w:r>
    </w:p>
    <w:p w14:paraId="5ED79676" w14:textId="77CE63C3" w:rsidR="00284C02" w:rsidRPr="00EA0A41" w:rsidRDefault="00284C02" w:rsidP="00284C02">
      <w:pPr>
        <w:pStyle w:val="BodyText"/>
      </w:pPr>
      <w:r w:rsidRPr="00EA0A41">
        <w:t>The ratio of energy received in the receive window of symbol X and originating from symbol X to the energy originating from symbol X</w:t>
      </w:r>
      <w:r>
        <w:t>-1</w:t>
      </w:r>
      <w:r w:rsidRPr="00EA0A41">
        <w:t xml:space="preserve"> and X+</w:t>
      </w:r>
      <w:r>
        <w:t>1</w:t>
      </w:r>
      <w:r w:rsidRPr="00EA0A41">
        <w:t xml:space="preserve"> but received in the receiver window of symbol X due to excessive time dispersion can then be approximated by </w:t>
      </w:r>
      <w:r>
        <w:fldChar w:fldCharType="begin"/>
      </w:r>
      <w:r w:rsidRPr="00EA0A41">
        <w:instrText xml:space="preserve"> REF _Ref39243463 \r \h </w:instrText>
      </w:r>
      <w:r>
        <w:fldChar w:fldCharType="separate"/>
      </w:r>
      <w:r w:rsidR="00CF206F">
        <w:t>[9]</w:t>
      </w:r>
      <w:r>
        <w:fldChar w:fldCharType="end"/>
      </w:r>
      <w:r w:rsidRPr="00EA0A41">
        <w:t>:</w:t>
      </w:r>
    </w:p>
    <w:p w14:paraId="0FB403B6" w14:textId="77777777" w:rsidR="00284C02" w:rsidRDefault="00284C02" w:rsidP="00284C02">
      <w:pPr>
        <w:pStyle w:val="BodyText"/>
      </w:pPr>
      <m:oMathPara>
        <m:oMath>
          <m:r>
            <w:rPr>
              <w:rFonts w:ascii="Cambria Math" w:hAnsi="Cambria Math"/>
            </w:rPr>
            <m:t>SIR=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symb</m:t>
                  </m:r>
                </m:sub>
              </m:sSub>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num>
            <m:den>
              <m:r>
                <w:rPr>
                  <w:rFonts w:ascii="Cambria Math" w:hAnsi="Cambria Math"/>
                </w:rPr>
                <m:t>2</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e</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nary>
            </m:den>
          </m:f>
        </m:oMath>
      </m:oMathPara>
    </w:p>
    <w:p w14:paraId="07FF249A" w14:textId="77777777" w:rsidR="00284C02" w:rsidRPr="00EA0A41" w:rsidRDefault="00284C02" w:rsidP="00284C02">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symb</m:t>
            </m:r>
          </m:sub>
        </m:sSub>
      </m:oMath>
      <w:r w:rsidRPr="00EA0A41">
        <w:t xml:space="preserve"> is the OFDM symbol duration</w:t>
      </w:r>
      <w:r>
        <w:t>.</w:t>
      </w:r>
      <w:r w:rsidRPr="00EA0A41">
        <w:t xml:space="preserve"> </w:t>
      </w:r>
      <w:r>
        <w:t>The</w:t>
      </w:r>
      <w:r w:rsidRPr="00EA0A41">
        <w:t xml:space="preserve"> ISI </w:t>
      </w:r>
      <w:r>
        <w:t>integration</w:t>
      </w:r>
      <w:r w:rsidRPr="00EA0A41">
        <w:t xml:space="preserve"> duration,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is given by</w:t>
      </w:r>
    </w:p>
    <w:p w14:paraId="622BE65C" w14:textId="77777777" w:rsidR="00284C02" w:rsidRDefault="00CF206F" w:rsidP="00284C02">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e>
          </m:func>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e>
              </m:d>
            </m:e>
          </m:func>
        </m:oMath>
      </m:oMathPara>
    </w:p>
    <w:p w14:paraId="49313D06" w14:textId="77777777" w:rsidR="00284C02" w:rsidRPr="00EA0A41" w:rsidRDefault="00284C02" w:rsidP="00284C02">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A0A41">
        <w:t xml:space="preserve"> is the CP duration. The first term of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xml:space="preserve"> is non-zero if the tap is early</w:t>
      </w:r>
      <w:r>
        <w:t xml:space="preserve"> and the second term is non-zero </w:t>
      </w:r>
      <w:r w:rsidRPr="00EA0A41">
        <w:t xml:space="preserve">if the tap is late (taking CP duration into account). </w:t>
      </w:r>
      <w:r>
        <w:t>As noted above, t</w:t>
      </w:r>
      <w:r w:rsidRPr="00EA0A41">
        <w:t>he factor of two in the denominator is to account for the loss of orthogonality between subcarriers caused by an impulse response not being fully contained in the CP as the effect of such long impulse response on the actual OFDM symbol cannot be expressed as a cyclic convolution.</w:t>
      </w:r>
    </w:p>
    <w:p w14:paraId="5B8E0E29" w14:textId="637B100B" w:rsidR="009D799F" w:rsidRDefault="008A2C71" w:rsidP="009D799F">
      <w:pPr>
        <w:pStyle w:val="BodyText"/>
      </w:pPr>
      <w:r>
        <w:t>It can be observed</w:t>
      </w:r>
      <w:r w:rsidR="0067536F">
        <w:t xml:space="preserve"> from the SIR formula</w:t>
      </w:r>
      <w:r>
        <w:t xml:space="preserve">, given the same received power, the numerator is directly proportional to the OFDM symbol duration. Therefore, SIR can still be severely limited by short OFDM symbol duration associated with large SCSs even if the amount of the ISI remains the same. This pertains to the cases where extended CPs are used in conjunction with larger SCS to mitigate the amount of ISI. As tabulated in </w:t>
      </w:r>
      <w:r>
        <w:fldChar w:fldCharType="begin"/>
      </w:r>
      <w:r>
        <w:instrText xml:space="preserve"> REF _Ref39582754 \h </w:instrText>
      </w:r>
      <w:r>
        <w:fldChar w:fldCharType="separate"/>
      </w:r>
      <w:r w:rsidR="00CF206F">
        <w:t>Figure</w:t>
      </w:r>
      <w:r w:rsidR="00CF206F" w:rsidRPr="00731273">
        <w:t xml:space="preserve"> </w:t>
      </w:r>
      <w:r w:rsidR="00CF206F">
        <w:rPr>
          <w:noProof/>
        </w:rPr>
        <w:t>28</w:t>
      </w:r>
      <w:r>
        <w:fldChar w:fldCharType="end"/>
      </w:r>
      <w:r>
        <w:t>, the durations of the extended CPs for the 9</w:t>
      </w:r>
      <w:r w:rsidR="00850E54">
        <w:t>6</w:t>
      </w:r>
      <w:r>
        <w:t xml:space="preserve">0 and </w:t>
      </w:r>
      <w:r w:rsidR="00850E54">
        <w:t xml:space="preserve">1920 </w:t>
      </w:r>
      <w:r>
        <w:t xml:space="preserve">kHz SCS can be made to be similar or even longer than that for the </w:t>
      </w:r>
      <w:r w:rsidR="00850E54">
        <w:t xml:space="preserve">480 </w:t>
      </w:r>
      <w:r>
        <w:t xml:space="preserve">kHz SCS. However, what matters at the end for the link and system performance is the SIR which depends not only on the amount of accumulated ISI energy but also the amount of accumulated signal energy. </w:t>
      </w:r>
    </w:p>
    <w:p w14:paraId="73C2115C" w14:textId="00F77502" w:rsidR="009D799F" w:rsidRPr="004370BD" w:rsidRDefault="009D799F" w:rsidP="00F676BA">
      <w:pPr>
        <w:pStyle w:val="TF"/>
        <w:keepLines w:val="0"/>
        <w:spacing w:before="0" w:after="240"/>
        <w:rPr>
          <w:lang w:val="en-US"/>
        </w:rPr>
      </w:pPr>
      <w:bookmarkStart w:id="123" w:name="_Ref39582754"/>
      <w:bookmarkStart w:id="124" w:name="_Ref39582747"/>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CF206F">
        <w:rPr>
          <w:noProof/>
          <w:lang w:val="en-US"/>
        </w:rPr>
        <w:t>28</w:t>
      </w:r>
      <w:r w:rsidRPr="00731273">
        <w:rPr>
          <w:lang w:val="en-US"/>
        </w:rPr>
        <w:fldChar w:fldCharType="end"/>
      </w:r>
      <w:bookmarkEnd w:id="123"/>
      <w:r w:rsidRPr="00731273">
        <w:rPr>
          <w:lang w:val="en-US"/>
        </w:rPr>
        <w:t>:</w:t>
      </w:r>
      <w:r>
        <w:rPr>
          <w:lang w:val="en-US"/>
        </w:rPr>
        <w:t xml:space="preserve"> Extended CP durations for differen</w:t>
      </w:r>
      <w:r w:rsidR="00CE02B2">
        <w:rPr>
          <w:lang w:val="en-US"/>
        </w:rPr>
        <w:t>t</w:t>
      </w:r>
      <w:r>
        <w:rPr>
          <w:lang w:val="en-US"/>
        </w:rPr>
        <w:t xml:space="preserve"> </w:t>
      </w:r>
      <w:r w:rsidRPr="00731273">
        <w:rPr>
          <w:lang w:val="en-US"/>
        </w:rPr>
        <w:t>sub-carrier spacing</w:t>
      </w:r>
      <w:r>
        <w:rPr>
          <w:lang w:val="en-US"/>
        </w:rPr>
        <w:t>s</w:t>
      </w:r>
      <w:bookmarkEnd w:id="124"/>
    </w:p>
    <w:tbl>
      <w:tblPr>
        <w:tblStyle w:val="TableGrid"/>
        <w:tblW w:w="0" w:type="auto"/>
        <w:tblInd w:w="445" w:type="dxa"/>
        <w:tblLook w:val="04A0" w:firstRow="1" w:lastRow="0" w:firstColumn="1" w:lastColumn="0" w:noHBand="0" w:noVBand="1"/>
      </w:tblPr>
      <w:tblGrid>
        <w:gridCol w:w="2158"/>
        <w:gridCol w:w="1062"/>
        <w:gridCol w:w="1063"/>
        <w:gridCol w:w="1063"/>
        <w:gridCol w:w="1030"/>
        <w:gridCol w:w="1035"/>
        <w:gridCol w:w="1183"/>
      </w:tblGrid>
      <w:tr w:rsidR="009D799F" w:rsidRPr="003D63C4" w14:paraId="711B0CD1" w14:textId="77777777" w:rsidTr="004D15E7">
        <w:tc>
          <w:tcPr>
            <w:tcW w:w="2158" w:type="dxa"/>
            <w:vAlign w:val="bottom"/>
          </w:tcPr>
          <w:p w14:paraId="7720E7C9"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4469037A"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0BB74A19"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11A24E58"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1AA42E5C"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35" w:type="dxa"/>
            <w:vAlign w:val="bottom"/>
          </w:tcPr>
          <w:p w14:paraId="27932F3A"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183" w:type="dxa"/>
          </w:tcPr>
          <w:p w14:paraId="54879990" w14:textId="77777777" w:rsidR="009D799F" w:rsidRPr="00552480" w:rsidRDefault="009D799F" w:rsidP="004D15E7">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9D799F" w:rsidRPr="003D63C4" w14:paraId="6E2713F8" w14:textId="77777777" w:rsidTr="004D15E7">
        <w:tc>
          <w:tcPr>
            <w:tcW w:w="2158" w:type="dxa"/>
            <w:vAlign w:val="bottom"/>
          </w:tcPr>
          <w:p w14:paraId="35C79028" w14:textId="77777777" w:rsidR="009D799F" w:rsidRDefault="009D799F" w:rsidP="004D15E7">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ECP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43F22D77" w14:textId="77777777" w:rsidR="009D799F" w:rsidRPr="00931B68" w:rsidRDefault="009D799F" w:rsidP="004D15E7">
            <w:pPr>
              <w:pStyle w:val="BodyText"/>
              <w:spacing w:before="40" w:after="40"/>
              <w:jc w:val="center"/>
            </w:pPr>
            <w:r w:rsidRPr="00776B6E">
              <w:t>2083.3</w:t>
            </w:r>
          </w:p>
        </w:tc>
        <w:tc>
          <w:tcPr>
            <w:tcW w:w="1063" w:type="dxa"/>
          </w:tcPr>
          <w:p w14:paraId="3CC70D64" w14:textId="77777777" w:rsidR="009D799F" w:rsidRPr="00931B68" w:rsidRDefault="009D799F" w:rsidP="004D15E7">
            <w:pPr>
              <w:pStyle w:val="BodyText"/>
              <w:spacing w:before="40" w:after="40"/>
              <w:jc w:val="center"/>
            </w:pPr>
            <w:r w:rsidRPr="00776B6E">
              <w:t>1041.7</w:t>
            </w:r>
          </w:p>
        </w:tc>
        <w:tc>
          <w:tcPr>
            <w:tcW w:w="1063" w:type="dxa"/>
          </w:tcPr>
          <w:p w14:paraId="3B598308" w14:textId="77777777" w:rsidR="009D799F" w:rsidRPr="00931B68" w:rsidRDefault="009D799F" w:rsidP="004D15E7">
            <w:pPr>
              <w:pStyle w:val="BodyText"/>
              <w:spacing w:before="40" w:after="40"/>
              <w:jc w:val="center"/>
            </w:pPr>
            <w:r w:rsidRPr="00776B6E">
              <w:t>520.8</w:t>
            </w:r>
          </w:p>
        </w:tc>
        <w:tc>
          <w:tcPr>
            <w:tcW w:w="1030" w:type="dxa"/>
          </w:tcPr>
          <w:p w14:paraId="74048B3E" w14:textId="77777777" w:rsidR="009D799F" w:rsidRPr="00931B68" w:rsidRDefault="009D799F" w:rsidP="004D15E7">
            <w:pPr>
              <w:pStyle w:val="BodyText"/>
              <w:spacing w:before="40" w:after="40"/>
              <w:jc w:val="center"/>
            </w:pPr>
            <w:r w:rsidRPr="00776B6E">
              <w:t>260.4</w:t>
            </w:r>
          </w:p>
        </w:tc>
        <w:tc>
          <w:tcPr>
            <w:tcW w:w="1035" w:type="dxa"/>
          </w:tcPr>
          <w:p w14:paraId="6D5EB258" w14:textId="77777777" w:rsidR="009D799F" w:rsidRPr="00931B68" w:rsidRDefault="009D799F" w:rsidP="004D15E7">
            <w:pPr>
              <w:pStyle w:val="BodyText"/>
              <w:spacing w:before="40" w:after="40"/>
              <w:jc w:val="center"/>
            </w:pPr>
            <w:r w:rsidRPr="00776B6E">
              <w:t>130.2</w:t>
            </w:r>
          </w:p>
        </w:tc>
        <w:tc>
          <w:tcPr>
            <w:tcW w:w="1183" w:type="dxa"/>
          </w:tcPr>
          <w:p w14:paraId="64ECDEAA" w14:textId="77777777" w:rsidR="009D799F" w:rsidRDefault="009D799F" w:rsidP="004D15E7">
            <w:pPr>
              <w:pStyle w:val="BodyText"/>
              <w:spacing w:before="40" w:after="40"/>
              <w:jc w:val="center"/>
            </w:pPr>
            <w:r>
              <w:t>20%</w:t>
            </w:r>
          </w:p>
        </w:tc>
      </w:tr>
    </w:tbl>
    <w:p w14:paraId="6FAD14AA" w14:textId="77777777" w:rsidR="009D799F" w:rsidRDefault="009D799F" w:rsidP="00F53040">
      <w:pPr>
        <w:pStyle w:val="BodyText"/>
      </w:pPr>
    </w:p>
    <w:p w14:paraId="5B18802B" w14:textId="5705F82A" w:rsidR="00F53040" w:rsidRDefault="008A2C71" w:rsidP="00F53040">
      <w:pPr>
        <w:pStyle w:val="BodyText"/>
      </w:pPr>
      <w:r>
        <w:t>Furthermore, data rates are reduced by 15% because of the higher overhead introduced by using extended CP.</w:t>
      </w:r>
      <w:r w:rsidR="00F53040">
        <w:t xml:space="preserve"> </w:t>
      </w:r>
      <w:r w:rsidR="00A55C2C">
        <w:t xml:space="preserve">More specifically, </w:t>
      </w:r>
      <w:r w:rsidR="009A64C1">
        <w:t>higher MCS will need to be used in conjunction with ECP</w:t>
      </w:r>
      <w:r w:rsidR="00467AE6">
        <w:t xml:space="preserve"> to achieve </w:t>
      </w:r>
      <w:r w:rsidR="00C010B4">
        <w:t xml:space="preserve">the same data rate </w:t>
      </w:r>
      <w:r w:rsidR="003C0B2A">
        <w:t xml:space="preserve">as with NCP. </w:t>
      </w:r>
      <w:r w:rsidR="00F53040" w:rsidRPr="00F53040">
        <w:t xml:space="preserve">Let </w:t>
      </w:r>
      <m:oMath>
        <m:r>
          <w:rPr>
            <w:rFonts w:ascii="Cambria Math" w:hAnsi="Cambria Math"/>
          </w:rPr>
          <m:t>L</m:t>
        </m:r>
      </m:oMath>
      <w:r w:rsidR="00F53040" w:rsidRPr="00F53040">
        <w:t xml:space="preserve"> and </w:t>
      </w:r>
      <m:oMath>
        <m:sSub>
          <m:sSubPr>
            <m:ctrlPr>
              <w:rPr>
                <w:rFonts w:ascii="Cambria Math" w:hAnsi="Cambria Math"/>
                <w:i/>
              </w:rPr>
            </m:ctrlPr>
          </m:sSubPr>
          <m:e>
            <m:r>
              <w:rPr>
                <w:rFonts w:ascii="Cambria Math" w:hAnsi="Cambria Math"/>
              </w:rPr>
              <m:t>R</m:t>
            </m:r>
          </m:e>
          <m:sub>
            <m:r>
              <w:rPr>
                <w:rFonts w:ascii="Cambria Math" w:hAnsi="Cambria Math"/>
              </w:rPr>
              <m:t>ncp</m:t>
            </m:r>
          </m:sub>
        </m:sSub>
        <m:r>
          <w:rPr>
            <w:rFonts w:ascii="Cambria Math" w:hAnsi="Cambria Math"/>
          </w:rPr>
          <m:t xml:space="preserve"> </m:t>
        </m:r>
      </m:oMath>
      <w:r w:rsidR="00F53040" w:rsidRPr="00F53040">
        <w:t xml:space="preserve">denote the allocated # of OS and code rate for NCP, respectively. Assuming one DMRS OS, the code rate for ECP should be raised to </w:t>
      </w:r>
      <m:oMath>
        <m:sSub>
          <m:sSubPr>
            <m:ctrlPr>
              <w:rPr>
                <w:rFonts w:ascii="Cambria Math" w:hAnsi="Cambria Math"/>
                <w:i/>
              </w:rPr>
            </m:ctrlPr>
          </m:sSubPr>
          <m:e>
            <m:r>
              <w:rPr>
                <w:rFonts w:ascii="Cambria Math" w:hAnsi="Cambria Math"/>
              </w:rPr>
              <m:t>R</m:t>
            </m:r>
          </m:e>
          <m:sub>
            <m:r>
              <w:rPr>
                <w:rFonts w:ascii="Cambria Math" w:hAnsi="Cambria Math"/>
              </w:rPr>
              <m:t>ecp</m:t>
            </m:r>
          </m:sub>
        </m:sSub>
        <m:r>
          <w:rPr>
            <w:rFonts w:ascii="Cambria Math" w:hAnsi="Cambria Math"/>
          </w:rPr>
          <m:t>=</m:t>
        </m:r>
        <m:d>
          <m:dPr>
            <m:ctrlPr>
              <w:rPr>
                <w:rFonts w:ascii="Cambria Math" w:hAnsi="Cambria Math"/>
                <w:i/>
              </w:rPr>
            </m:ctrlPr>
          </m:dPr>
          <m:e>
            <m:r>
              <w:rPr>
                <w:rFonts w:ascii="Cambria Math" w:hAnsi="Cambria Math"/>
              </w:rPr>
              <m:t>L-1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ncp</m:t>
            </m:r>
          </m:sub>
        </m:sSub>
        <m:r>
          <w:rPr>
            <w:rFonts w:ascii="Cambria Math" w:hAnsi="Cambria Math"/>
          </w:rPr>
          <m:t>/(L-3)</m:t>
        </m:r>
      </m:oMath>
      <w:r w:rsidR="00F53040" w:rsidRPr="00F53040">
        <w:t xml:space="preserve">. For the example of </w:t>
      </w:r>
      <m:oMath>
        <m:r>
          <w:rPr>
            <w:rFonts w:ascii="Cambria Math" w:hAnsi="Cambria Math"/>
          </w:rPr>
          <m:t>L=12</m:t>
        </m:r>
      </m:oMath>
      <w:r w:rsidR="00F53040" w:rsidRPr="00F53040">
        <w:t xml:space="preserve">, NCP MCS16 </w:t>
      </w:r>
      <w:r w:rsidR="00FB2762">
        <w:t>achieve</w:t>
      </w:r>
      <w:r w:rsidR="001D2295">
        <w:t>s</w:t>
      </w:r>
      <w:r w:rsidR="00FB2762">
        <w:t xml:space="preserve"> </w:t>
      </w:r>
      <w:r w:rsidR="001D2295">
        <w:t xml:space="preserve">higher </w:t>
      </w:r>
      <w:r w:rsidR="00FB2762">
        <w:t xml:space="preserve">data rate </w:t>
      </w:r>
      <w:r w:rsidR="001D2295">
        <w:t xml:space="preserve">than </w:t>
      </w:r>
      <w:r w:rsidR="00F53040" w:rsidRPr="00F53040">
        <w:t>ECP MCS19 (64QAM).</w:t>
      </w:r>
      <w:r w:rsidR="00387103">
        <w:t xml:space="preserve"> </w:t>
      </w:r>
      <w:r w:rsidR="00F53040" w:rsidRPr="00F53040">
        <w:t xml:space="preserve">NCP MCS22 </w:t>
      </w:r>
      <w:r w:rsidR="002847C3">
        <w:t xml:space="preserve">achieves similar data rate as </w:t>
      </w:r>
      <w:r w:rsidR="00F53040" w:rsidRPr="00F53040">
        <w:t>ECP MCS25.</w:t>
      </w:r>
    </w:p>
    <w:p w14:paraId="2DF064B7" w14:textId="77777777" w:rsidR="00FF62E0" w:rsidRDefault="00FF62E0" w:rsidP="008A2C71">
      <w:pPr>
        <w:pStyle w:val="BodyText"/>
      </w:pPr>
    </w:p>
    <w:p w14:paraId="5615F66F" w14:textId="58E0DA69" w:rsidR="00FF62E0" w:rsidRPr="00EA0A41" w:rsidRDefault="00FF62E0" w:rsidP="00FF62E0">
      <w:pPr>
        <w:pStyle w:val="Proposal"/>
      </w:pPr>
      <w:bookmarkStart w:id="125" w:name="_Toc47712039"/>
      <w:r>
        <w:t xml:space="preserve">Extended CP </w:t>
      </w:r>
      <w:r w:rsidR="0031012F">
        <w:t>need</w:t>
      </w:r>
      <w:r w:rsidR="004822E8">
        <w:t xml:space="preserve"> not </w:t>
      </w:r>
      <w:r w:rsidR="004822E8" w:rsidDel="00122770">
        <w:t>be considered for</w:t>
      </w:r>
      <w:r w:rsidR="004822E8">
        <w:t xml:space="preserve"> </w:t>
      </w:r>
      <w:r>
        <w:t>NR operation in 52.6 to 71 GHz.</w:t>
      </w:r>
      <w:bookmarkEnd w:id="125"/>
    </w:p>
    <w:p w14:paraId="0716E2CF" w14:textId="77777777" w:rsidR="0085116E" w:rsidRPr="004370BD" w:rsidRDefault="0085116E" w:rsidP="00FB6421">
      <w:pPr>
        <w:pStyle w:val="BodyText"/>
      </w:pPr>
    </w:p>
    <w:p w14:paraId="266AF462" w14:textId="4F3337F9" w:rsidR="008A2C71" w:rsidRDefault="00E52095" w:rsidP="008A2C71">
      <w:pPr>
        <w:pStyle w:val="Heading2"/>
      </w:pPr>
      <w:bookmarkStart w:id="126" w:name="_Toc46307400"/>
      <w:bookmarkStart w:id="127" w:name="_Toc47530178"/>
      <w:r>
        <w:lastRenderedPageBreak/>
        <w:t>3</w:t>
      </w:r>
      <w:r w:rsidR="008A2C71">
        <w:t>.</w:t>
      </w:r>
      <w:r w:rsidR="003B7AF7">
        <w:t>5</w:t>
      </w:r>
      <w:r w:rsidR="008A2C71">
        <w:tab/>
        <w:t>Processing time issues</w:t>
      </w:r>
      <w:bookmarkEnd w:id="126"/>
      <w:bookmarkEnd w:id="127"/>
    </w:p>
    <w:p w14:paraId="702E1A7B" w14:textId="022F9791" w:rsidR="008A2C71" w:rsidRDefault="008A2C71" w:rsidP="008A2C71">
      <w:pPr>
        <w:pStyle w:val="BodyText"/>
      </w:pPr>
      <w:r>
        <w:t xml:space="preserve">With short OFDM symbol durations associated with large SCSs, the amount of time for UE and gNB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specified in Section 5.3 of </w:t>
      </w:r>
      <w:r>
        <w:fldChar w:fldCharType="begin"/>
      </w:r>
      <w:r>
        <w:instrText xml:space="preserve"> REF _Ref39586750 \r \h </w:instrText>
      </w:r>
      <w:r>
        <w:fldChar w:fldCharType="separate"/>
      </w:r>
      <w:r w:rsidR="00CF206F">
        <w:t>[10]</w:t>
      </w:r>
      <w:r>
        <w:fldChar w:fldCharType="end"/>
      </w:r>
      <w:r>
        <w:t>. For 120 kHz SCS for FR2 operations, only UE PDSCH processing capability 1 is applicable. The allowed processing times in terms of OFDM symbols are specified by the following table:</w:t>
      </w:r>
    </w:p>
    <w:p w14:paraId="33BADA71" w14:textId="77777777" w:rsidR="008A2C71" w:rsidRPr="0048482F" w:rsidRDefault="008A2C71" w:rsidP="008A2C71">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8A2C71" w:rsidRPr="0048482F" w14:paraId="2A41707D" w14:textId="77777777" w:rsidTr="00AC1B06">
        <w:trPr>
          <w:jc w:val="center"/>
        </w:trPr>
        <w:tc>
          <w:tcPr>
            <w:tcW w:w="828" w:type="dxa"/>
            <w:vMerge w:val="restart"/>
            <w:shd w:val="clear" w:color="auto" w:fill="auto"/>
            <w:vAlign w:val="center"/>
          </w:tcPr>
          <w:p w14:paraId="225B0156" w14:textId="77777777" w:rsidR="008A2C71" w:rsidRPr="00E17FE7" w:rsidRDefault="008A2C71" w:rsidP="00AC1B06">
            <w:pPr>
              <w:pStyle w:val="TAH"/>
              <w:rPr>
                <w:rFonts w:eastAsia="Batang"/>
                <w:color w:val="000000"/>
                <w:lang w:val="en-GB"/>
              </w:rPr>
            </w:pPr>
            <w:r w:rsidRPr="00E17FE7">
              <w:rPr>
                <w:rFonts w:eastAsia="Batang"/>
                <w:color w:val="000000"/>
                <w:position w:val="-8"/>
                <w:lang w:val="en-GB"/>
              </w:rPr>
              <w:object w:dxaOrig="220" w:dyaOrig="220" w14:anchorId="72D14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1.9pt" o:ole="">
                  <v:imagedata r:id="rId39" o:title=""/>
                </v:shape>
                <o:OLEObject Type="Embed" ProgID="Equation.3" ShapeID="_x0000_i1025" DrawAspect="Content" ObjectID="_1658324786" r:id="rId40"/>
              </w:object>
            </w:r>
          </w:p>
        </w:tc>
        <w:tc>
          <w:tcPr>
            <w:tcW w:w="7547" w:type="dxa"/>
            <w:gridSpan w:val="2"/>
            <w:shd w:val="clear" w:color="auto" w:fill="auto"/>
          </w:tcPr>
          <w:p w14:paraId="184F0361" w14:textId="77777777" w:rsidR="008A2C71" w:rsidRPr="00E17FE7" w:rsidRDefault="008A2C71" w:rsidP="00AC1B06">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A2C71" w:rsidRPr="0048482F" w14:paraId="6C17357E" w14:textId="77777777" w:rsidTr="00AC1B06">
        <w:trPr>
          <w:jc w:val="center"/>
        </w:trPr>
        <w:tc>
          <w:tcPr>
            <w:tcW w:w="828" w:type="dxa"/>
            <w:vMerge/>
            <w:shd w:val="clear" w:color="auto" w:fill="auto"/>
          </w:tcPr>
          <w:p w14:paraId="2B85337E" w14:textId="77777777" w:rsidR="008A2C71" w:rsidRPr="00E17FE7" w:rsidRDefault="008A2C71" w:rsidP="00AC1B06">
            <w:pPr>
              <w:pStyle w:val="TAH"/>
              <w:rPr>
                <w:rFonts w:eastAsia="Batang"/>
                <w:color w:val="000000"/>
                <w:lang w:val="en-GB"/>
              </w:rPr>
            </w:pPr>
          </w:p>
        </w:tc>
        <w:tc>
          <w:tcPr>
            <w:tcW w:w="3773" w:type="dxa"/>
            <w:shd w:val="clear" w:color="auto" w:fill="auto"/>
          </w:tcPr>
          <w:p w14:paraId="30153893" w14:textId="77777777" w:rsidR="008A2C71" w:rsidRPr="00E17FE7" w:rsidRDefault="008A2C71" w:rsidP="00AC1B06">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3928240A" w14:textId="77777777" w:rsidR="008A2C71" w:rsidRDefault="008A2C71" w:rsidP="00AC1B06">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Pr>
                <w:rFonts w:eastAsia="Batang"/>
                <w:i/>
                <w:color w:val="000000"/>
                <w:lang w:val="en-GB"/>
              </w:rPr>
              <w:t xml:space="preserve"> </w:t>
            </w:r>
          </w:p>
          <w:p w14:paraId="53FB55CB" w14:textId="77777777" w:rsidR="008A2C71" w:rsidRPr="00E17FE7" w:rsidRDefault="008A2C71" w:rsidP="00AC1B06">
            <w:pPr>
              <w:pStyle w:val="TAH"/>
              <w:rPr>
                <w:rFonts w:eastAsia="Batang"/>
                <w:color w:val="000000"/>
                <w:lang w:val="en-GB"/>
              </w:rPr>
            </w:pPr>
            <w:r>
              <w:rPr>
                <w:rFonts w:eastAsia="Batang"/>
                <w:i/>
                <w:color w:val="000000"/>
                <w:lang w:val="en-GB"/>
              </w:rPr>
              <w:t xml:space="preserve">or if the higher layer parameter is not configured </w:t>
            </w:r>
          </w:p>
        </w:tc>
      </w:tr>
      <w:tr w:rsidR="008A2C71" w:rsidRPr="0048482F" w14:paraId="72CEFD7A" w14:textId="77777777" w:rsidTr="00AC1B06">
        <w:trPr>
          <w:jc w:val="center"/>
        </w:trPr>
        <w:tc>
          <w:tcPr>
            <w:tcW w:w="828" w:type="dxa"/>
            <w:shd w:val="clear" w:color="auto" w:fill="auto"/>
          </w:tcPr>
          <w:p w14:paraId="516C206D" w14:textId="77777777" w:rsidR="008A2C71" w:rsidRPr="00E17FE7" w:rsidRDefault="008A2C71" w:rsidP="00AC1B06">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3C24E6F7" w14:textId="77777777" w:rsidR="008A2C71" w:rsidRPr="00E17FE7" w:rsidRDefault="008A2C71" w:rsidP="00AC1B06">
            <w:pPr>
              <w:pStyle w:val="TAC"/>
              <w:rPr>
                <w:rFonts w:eastAsia="Batang"/>
                <w:color w:val="000000"/>
                <w:lang w:val="en-GB"/>
              </w:rPr>
            </w:pPr>
            <w:r w:rsidRPr="00E17FE7">
              <w:rPr>
                <w:rFonts w:eastAsia="Batang"/>
                <w:color w:val="000000"/>
                <w:lang w:val="en-GB"/>
              </w:rPr>
              <w:t>8</w:t>
            </w:r>
          </w:p>
        </w:tc>
        <w:tc>
          <w:tcPr>
            <w:tcW w:w="3774" w:type="dxa"/>
          </w:tcPr>
          <w:p w14:paraId="6EBD64C0" w14:textId="77777777" w:rsidR="008A2C71" w:rsidRPr="00E17FE7" w:rsidRDefault="008A2C71" w:rsidP="00AC1B06">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8A2C71" w:rsidRPr="0048482F" w14:paraId="622CB4C6" w14:textId="77777777" w:rsidTr="00AC1B06">
        <w:trPr>
          <w:jc w:val="center"/>
        </w:trPr>
        <w:tc>
          <w:tcPr>
            <w:tcW w:w="828" w:type="dxa"/>
            <w:shd w:val="clear" w:color="auto" w:fill="auto"/>
          </w:tcPr>
          <w:p w14:paraId="09DF2889" w14:textId="77777777" w:rsidR="008A2C71" w:rsidRPr="00E17FE7" w:rsidRDefault="008A2C71" w:rsidP="00AC1B06">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5122C2F2" w14:textId="77777777" w:rsidR="008A2C71" w:rsidRPr="00E17FE7" w:rsidRDefault="008A2C71" w:rsidP="00AC1B06">
            <w:pPr>
              <w:pStyle w:val="TAC"/>
              <w:rPr>
                <w:rFonts w:eastAsia="Batang"/>
                <w:color w:val="000000"/>
                <w:lang w:val="en-GB"/>
              </w:rPr>
            </w:pPr>
            <w:r w:rsidRPr="00E17FE7">
              <w:rPr>
                <w:rFonts w:eastAsia="Batang"/>
                <w:color w:val="000000"/>
                <w:lang w:val="en-GB"/>
              </w:rPr>
              <w:t>10</w:t>
            </w:r>
          </w:p>
        </w:tc>
        <w:tc>
          <w:tcPr>
            <w:tcW w:w="3774" w:type="dxa"/>
          </w:tcPr>
          <w:p w14:paraId="3D9D9A14" w14:textId="77777777" w:rsidR="008A2C71" w:rsidRPr="00E17FE7" w:rsidRDefault="008A2C71" w:rsidP="00AC1B06">
            <w:pPr>
              <w:pStyle w:val="TAC"/>
              <w:rPr>
                <w:rFonts w:eastAsia="Batang"/>
                <w:color w:val="000000"/>
                <w:lang w:val="en-GB"/>
              </w:rPr>
            </w:pPr>
            <w:r w:rsidRPr="00E17FE7">
              <w:rPr>
                <w:rFonts w:eastAsia="Batang"/>
                <w:color w:val="000000"/>
                <w:lang w:val="en-GB"/>
              </w:rPr>
              <w:t>13</w:t>
            </w:r>
          </w:p>
        </w:tc>
      </w:tr>
      <w:tr w:rsidR="008A2C71" w:rsidRPr="0048482F" w14:paraId="0E4348C9" w14:textId="77777777" w:rsidTr="00AC1B06">
        <w:trPr>
          <w:trHeight w:val="47"/>
          <w:jc w:val="center"/>
        </w:trPr>
        <w:tc>
          <w:tcPr>
            <w:tcW w:w="828" w:type="dxa"/>
            <w:shd w:val="clear" w:color="auto" w:fill="auto"/>
          </w:tcPr>
          <w:p w14:paraId="68200304" w14:textId="77777777" w:rsidR="008A2C71" w:rsidRPr="00E17FE7" w:rsidRDefault="008A2C71" w:rsidP="00AC1B06">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F20B0A8" w14:textId="77777777" w:rsidR="008A2C71" w:rsidRPr="00E17FE7" w:rsidRDefault="008A2C71" w:rsidP="00AC1B06">
            <w:pPr>
              <w:pStyle w:val="TAC"/>
              <w:rPr>
                <w:rFonts w:eastAsia="Batang"/>
                <w:color w:val="000000"/>
                <w:lang w:val="en-GB"/>
              </w:rPr>
            </w:pPr>
            <w:r w:rsidRPr="00E17FE7">
              <w:rPr>
                <w:rFonts w:eastAsia="Batang"/>
                <w:color w:val="000000"/>
                <w:lang w:val="en-GB"/>
              </w:rPr>
              <w:t>17</w:t>
            </w:r>
          </w:p>
        </w:tc>
        <w:tc>
          <w:tcPr>
            <w:tcW w:w="3774" w:type="dxa"/>
          </w:tcPr>
          <w:p w14:paraId="1425EEB5"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r>
      <w:tr w:rsidR="008A2C71" w:rsidRPr="0048482F" w14:paraId="7CD4C8A6" w14:textId="77777777" w:rsidTr="00AC1B06">
        <w:trPr>
          <w:jc w:val="center"/>
        </w:trPr>
        <w:tc>
          <w:tcPr>
            <w:tcW w:w="828" w:type="dxa"/>
            <w:shd w:val="clear" w:color="auto" w:fill="auto"/>
          </w:tcPr>
          <w:p w14:paraId="464BEEE2" w14:textId="77777777" w:rsidR="008A2C71" w:rsidRPr="00E17FE7" w:rsidRDefault="008A2C71" w:rsidP="00AC1B06">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6A181FDA"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c>
          <w:tcPr>
            <w:tcW w:w="3774" w:type="dxa"/>
          </w:tcPr>
          <w:p w14:paraId="3A8AE089" w14:textId="77777777" w:rsidR="008A2C71" w:rsidRPr="00E17FE7" w:rsidRDefault="008A2C71" w:rsidP="00AC1B06">
            <w:pPr>
              <w:pStyle w:val="TAC"/>
              <w:rPr>
                <w:rFonts w:eastAsia="Batang"/>
                <w:color w:val="000000"/>
                <w:lang w:val="en-GB"/>
              </w:rPr>
            </w:pPr>
            <w:r w:rsidRPr="00E17FE7">
              <w:rPr>
                <w:rFonts w:eastAsia="Batang"/>
                <w:color w:val="000000"/>
                <w:lang w:val="en-GB"/>
              </w:rPr>
              <w:t>24</w:t>
            </w:r>
          </w:p>
        </w:tc>
      </w:tr>
    </w:tbl>
    <w:p w14:paraId="0A228331" w14:textId="77777777" w:rsidR="008A2C71" w:rsidRDefault="008A2C71" w:rsidP="008A2C71">
      <w:pPr>
        <w:pStyle w:val="BodyText"/>
      </w:pPr>
    </w:p>
    <w:p w14:paraId="3887EDA7" w14:textId="147F5453" w:rsidR="008A2C71" w:rsidRDefault="008A2C71" w:rsidP="008A2C71">
      <w:pPr>
        <w:pStyle w:val="BodyText"/>
      </w:pPr>
      <w:r>
        <w:t xml:space="preserve">It can be observed that the amount of processing time provisioned for decoding a PDSCH </w:t>
      </w:r>
      <w:r w:rsidRPr="00085F74">
        <w:rPr>
          <w:u w:val="single"/>
        </w:rPr>
        <w:t xml:space="preserve">grows </w:t>
      </w:r>
      <w:r w:rsidRPr="00815D36">
        <w:rPr>
          <w:u w:val="single"/>
        </w:rPr>
        <w:t>exponentially</w:t>
      </w:r>
      <w:r>
        <w:t xml:space="preserve"> with the numerology</w:t>
      </w:r>
      <w:r w:rsidR="000E6332">
        <w:t xml:space="preserve"> (see exponential fitting discussed below)</w:t>
      </w:r>
      <w:r>
        <w:t xml:space="preserve">. 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w:t>
      </w:r>
      <w:r>
        <w:fldChar w:fldCharType="begin"/>
      </w:r>
      <w:r>
        <w:instrText xml:space="preserve"> REF _Ref39586750 \r \h </w:instrText>
      </w:r>
      <w:r>
        <w:fldChar w:fldCharType="separate"/>
      </w:r>
      <w:r w:rsidR="00CF206F">
        <w:t>[10]</w:t>
      </w:r>
      <w:r>
        <w:fldChar w:fldCharType="end"/>
      </w:r>
      <w:r>
        <w:t xml:space="preserve"> and the following table. The trend of exponentially growing processing times for PUSCH is stronger still than those for PDSCH. </w:t>
      </w:r>
    </w:p>
    <w:p w14:paraId="6DA702BC" w14:textId="77777777" w:rsidR="008A2C71" w:rsidRPr="0048482F" w:rsidRDefault="008A2C71" w:rsidP="008A2C7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CB1CE0" w:rsidRPr="0048482F" w14:paraId="2E548A3C" w14:textId="77777777" w:rsidTr="00F91B38">
        <w:trPr>
          <w:jc w:val="center"/>
        </w:trPr>
        <w:tc>
          <w:tcPr>
            <w:tcW w:w="828" w:type="dxa"/>
            <w:shd w:val="clear" w:color="auto" w:fill="auto"/>
            <w:vAlign w:val="center"/>
          </w:tcPr>
          <w:p w14:paraId="3B20CE86" w14:textId="77777777" w:rsidR="00CB1CE0" w:rsidRPr="00E17FE7" w:rsidRDefault="00CB1CE0" w:rsidP="00F91B38">
            <w:pPr>
              <w:pStyle w:val="TAC"/>
              <w:rPr>
                <w:rFonts w:eastAsia="Batang"/>
                <w:color w:val="000000"/>
                <w:lang w:val="en-GB"/>
              </w:rPr>
            </w:pPr>
            <w:r w:rsidRPr="00E17FE7">
              <w:rPr>
                <w:rFonts w:eastAsia="Batang"/>
                <w:color w:val="000000"/>
                <w:position w:val="-8"/>
                <w:lang w:val="en-GB"/>
              </w:rPr>
              <w:object w:dxaOrig="220" w:dyaOrig="220" w14:anchorId="2B6C1D26">
                <v:shape id="_x0000_i1026" type="#_x0000_t75" style="width:11.9pt;height:11.9pt" o:ole="">
                  <v:imagedata r:id="rId41" o:title=""/>
                </v:shape>
                <o:OLEObject Type="Embed" ProgID="Equation.3" ShapeID="_x0000_i1026" DrawAspect="Content" ObjectID="_1658324787" r:id="rId42"/>
              </w:object>
            </w:r>
          </w:p>
        </w:tc>
        <w:tc>
          <w:tcPr>
            <w:tcW w:w="4165" w:type="dxa"/>
            <w:shd w:val="clear" w:color="auto" w:fill="auto"/>
          </w:tcPr>
          <w:p w14:paraId="749FB7A1" w14:textId="77777777" w:rsidR="00CB1CE0" w:rsidRPr="00E17FE7" w:rsidRDefault="00CB1CE0" w:rsidP="00F91B3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CB1CE0" w:rsidRPr="0048482F" w14:paraId="527162BE" w14:textId="77777777" w:rsidTr="00F91B38">
        <w:trPr>
          <w:jc w:val="center"/>
        </w:trPr>
        <w:tc>
          <w:tcPr>
            <w:tcW w:w="828" w:type="dxa"/>
            <w:shd w:val="clear" w:color="auto" w:fill="auto"/>
          </w:tcPr>
          <w:p w14:paraId="7C47E541" w14:textId="77777777" w:rsidR="00CB1CE0" w:rsidRPr="00E17FE7" w:rsidRDefault="00CB1CE0" w:rsidP="00F91B3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6D32D710" w14:textId="77777777" w:rsidR="00CB1CE0" w:rsidRPr="00E17FE7" w:rsidRDefault="00CB1CE0" w:rsidP="00F91B38">
            <w:pPr>
              <w:pStyle w:val="TAC"/>
              <w:rPr>
                <w:rFonts w:eastAsia="Batang"/>
                <w:color w:val="000000"/>
                <w:lang w:val="en-GB"/>
              </w:rPr>
            </w:pPr>
            <w:r w:rsidRPr="00E17FE7">
              <w:rPr>
                <w:rFonts w:eastAsia="Batang"/>
                <w:color w:val="000000"/>
                <w:lang w:val="en-GB"/>
              </w:rPr>
              <w:t>10</w:t>
            </w:r>
          </w:p>
        </w:tc>
      </w:tr>
      <w:tr w:rsidR="00CB1CE0" w:rsidRPr="0048482F" w14:paraId="5F53B8A6" w14:textId="77777777" w:rsidTr="00F91B38">
        <w:trPr>
          <w:jc w:val="center"/>
        </w:trPr>
        <w:tc>
          <w:tcPr>
            <w:tcW w:w="828" w:type="dxa"/>
            <w:shd w:val="clear" w:color="auto" w:fill="auto"/>
          </w:tcPr>
          <w:p w14:paraId="62E5FC72" w14:textId="77777777" w:rsidR="00CB1CE0" w:rsidRPr="00E17FE7" w:rsidRDefault="00CB1CE0" w:rsidP="00F91B3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2C12910F" w14:textId="77777777" w:rsidR="00CB1CE0" w:rsidRPr="00E17FE7" w:rsidRDefault="00CB1CE0" w:rsidP="00F91B38">
            <w:pPr>
              <w:pStyle w:val="TAC"/>
              <w:rPr>
                <w:rFonts w:eastAsia="Batang"/>
                <w:color w:val="000000"/>
                <w:lang w:val="en-GB"/>
              </w:rPr>
            </w:pPr>
            <w:r w:rsidRPr="00E17FE7">
              <w:rPr>
                <w:rFonts w:eastAsia="Batang"/>
                <w:color w:val="000000"/>
                <w:lang w:val="en-GB"/>
              </w:rPr>
              <w:t>12</w:t>
            </w:r>
          </w:p>
        </w:tc>
      </w:tr>
      <w:tr w:rsidR="00CB1CE0" w:rsidRPr="0048482F" w14:paraId="3476E625" w14:textId="77777777" w:rsidTr="00F91B38">
        <w:trPr>
          <w:trHeight w:val="47"/>
          <w:jc w:val="center"/>
        </w:trPr>
        <w:tc>
          <w:tcPr>
            <w:tcW w:w="828" w:type="dxa"/>
            <w:shd w:val="clear" w:color="auto" w:fill="auto"/>
          </w:tcPr>
          <w:p w14:paraId="29DFAE18" w14:textId="77777777" w:rsidR="00CB1CE0" w:rsidRPr="00E17FE7" w:rsidRDefault="00CB1CE0" w:rsidP="00F91B3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052696E1" w14:textId="77777777" w:rsidR="00CB1CE0" w:rsidRPr="00E17FE7" w:rsidRDefault="00CB1CE0" w:rsidP="00F91B38">
            <w:pPr>
              <w:pStyle w:val="TAC"/>
              <w:rPr>
                <w:rFonts w:eastAsia="Batang"/>
                <w:color w:val="000000"/>
                <w:lang w:val="en-GB"/>
              </w:rPr>
            </w:pPr>
            <w:r w:rsidRPr="00E17FE7">
              <w:rPr>
                <w:rFonts w:eastAsia="Batang"/>
                <w:color w:val="000000"/>
                <w:lang w:val="en-GB"/>
              </w:rPr>
              <w:t>23</w:t>
            </w:r>
          </w:p>
        </w:tc>
      </w:tr>
      <w:tr w:rsidR="00CB1CE0" w:rsidRPr="0048482F" w14:paraId="07CEE95D" w14:textId="77777777" w:rsidTr="00F91B38">
        <w:trPr>
          <w:jc w:val="center"/>
        </w:trPr>
        <w:tc>
          <w:tcPr>
            <w:tcW w:w="828" w:type="dxa"/>
            <w:shd w:val="clear" w:color="auto" w:fill="auto"/>
          </w:tcPr>
          <w:p w14:paraId="5067D9F4" w14:textId="77777777" w:rsidR="00CB1CE0" w:rsidRPr="00E17FE7" w:rsidRDefault="00CB1CE0" w:rsidP="00F91B3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B214E8A" w14:textId="77777777" w:rsidR="00CB1CE0" w:rsidRPr="00E17FE7" w:rsidRDefault="00CB1CE0" w:rsidP="00F91B38">
            <w:pPr>
              <w:pStyle w:val="TAC"/>
              <w:rPr>
                <w:rFonts w:eastAsia="Batang"/>
                <w:color w:val="000000"/>
                <w:lang w:val="en-GB"/>
              </w:rPr>
            </w:pPr>
            <w:r w:rsidRPr="00E17FE7">
              <w:rPr>
                <w:rFonts w:eastAsia="Batang"/>
                <w:color w:val="000000"/>
                <w:lang w:val="en-GB"/>
              </w:rPr>
              <w:t>36</w:t>
            </w:r>
          </w:p>
        </w:tc>
      </w:tr>
    </w:tbl>
    <w:p w14:paraId="270B5F71" w14:textId="77777777" w:rsidR="00F02A93" w:rsidRDefault="00F02A93" w:rsidP="00296180">
      <w:pPr>
        <w:pStyle w:val="BodyText"/>
      </w:pPr>
    </w:p>
    <w:p w14:paraId="7A479319" w14:textId="76D3F65C" w:rsidR="00345569" w:rsidRDefault="00431504" w:rsidP="00296180">
      <w:pPr>
        <w:pStyle w:val="BodyText"/>
      </w:pPr>
      <w:r>
        <w:t xml:space="preserve">For the system level simulations, it was agreed that </w:t>
      </w:r>
      <w:r w:rsidR="00726932">
        <w:t>“</w:t>
      </w:r>
      <w:r w:rsidR="00726932" w:rsidRPr="00726932">
        <w:t>UE processing timeline in microseconds are assumed to be same as 120 kHz SCS PDSCH/PUSCH processing latency</w:t>
      </w:r>
      <w:r w:rsidR="000E5503">
        <w:t>.”</w:t>
      </w:r>
      <w:r w:rsidR="00C21E1F" w:rsidRPr="00C21E1F">
        <w:t xml:space="preserve"> </w:t>
      </w:r>
      <w:r w:rsidR="00C21E1F">
        <w:t xml:space="preserve">Using the front loaded DMRS case as an example, </w:t>
      </w:r>
      <w:r w:rsidR="00AC5432">
        <w:t>the latency of 20 OS</w:t>
      </w:r>
      <w:r w:rsidR="00420E81">
        <w:t>s</w:t>
      </w:r>
      <w:r w:rsidR="00AC5432">
        <w:t xml:space="preserve"> in </w:t>
      </w:r>
      <w:r w:rsidR="005444BC">
        <w:t>12</w:t>
      </w:r>
      <w:r w:rsidR="00B03FFE">
        <w:t xml:space="preserve">0 kHz SCS numerology translates into </w:t>
      </w:r>
      <w:r w:rsidR="00420E81">
        <w:t>40, 80, 160 and 320 O</w:t>
      </w:r>
      <w:r w:rsidR="001F4866">
        <w:t>S</w:t>
      </w:r>
      <w:r w:rsidR="00420E81">
        <w:t>s in 240, 480, 960 and 1920 kHz SCS numerologies.</w:t>
      </w:r>
      <w:r w:rsidR="0037347A">
        <w:t xml:space="preserve"> </w:t>
      </w:r>
      <w:r w:rsidR="00823E8E">
        <w:t>T</w:t>
      </w:r>
      <w:r w:rsidR="00CF4A96">
        <w:t xml:space="preserve">hat is, </w:t>
      </w:r>
      <w:r w:rsidR="006E11DC" w:rsidRPr="00F94015">
        <w:t xml:space="preserve">take 960 kHz SCS </w:t>
      </w:r>
      <w:r w:rsidR="00B63D87" w:rsidRPr="00F94015">
        <w:t>used in the system level simulations</w:t>
      </w:r>
      <w:r w:rsidR="006E11DC" w:rsidRPr="00F94015">
        <w:t xml:space="preserve"> as an example, </w:t>
      </w:r>
      <w:r w:rsidR="00E218A3" w:rsidRPr="00F94015">
        <w:t>the simulation assumptions all</w:t>
      </w:r>
      <w:r w:rsidR="00DB398B" w:rsidRPr="00F94015">
        <w:t>ow</w:t>
      </w:r>
      <w:r w:rsidR="00CF4A96" w:rsidRPr="00F94015">
        <w:t xml:space="preserve"> more than 10 slots before the UE can send back </w:t>
      </w:r>
      <w:r w:rsidR="00873E75" w:rsidRPr="00F94015">
        <w:t xml:space="preserve">the </w:t>
      </w:r>
      <w:r w:rsidR="00CF4A96" w:rsidRPr="00F94015">
        <w:t>HARQ</w:t>
      </w:r>
      <w:r w:rsidR="00873E75" w:rsidRPr="00F94015">
        <w:t>-ACK result</w:t>
      </w:r>
      <w:r w:rsidR="006E11DC" w:rsidRPr="00F94015">
        <w:t>.</w:t>
      </w:r>
      <w:r w:rsidR="00620D56" w:rsidRPr="00F94015">
        <w:t xml:space="preserve"> Worse yet, </w:t>
      </w:r>
      <w:r w:rsidR="00AD68B7" w:rsidRPr="00F94015">
        <w:t xml:space="preserve">it </w:t>
      </w:r>
      <w:r w:rsidR="008A592C" w:rsidRPr="00F94015">
        <w:t>allows</w:t>
      </w:r>
      <w:r w:rsidR="00600AEA" w:rsidRPr="00F94015">
        <w:t xml:space="preserve"> </w:t>
      </w:r>
      <w:r w:rsidR="00C97750" w:rsidRPr="00F94015">
        <w:t xml:space="preserve">more than 20 slots for the UE to </w:t>
      </w:r>
      <w:r w:rsidR="00E25FDC" w:rsidRPr="00F94015">
        <w:t xml:space="preserve">prepare </w:t>
      </w:r>
      <w:r w:rsidR="00C94BEA" w:rsidRPr="00F94015">
        <w:t>a</w:t>
      </w:r>
      <w:r w:rsidR="00B3412E" w:rsidRPr="00F94015">
        <w:t xml:space="preserve"> scheduled PUSCH.</w:t>
      </w:r>
      <w:r w:rsidR="00CF3168">
        <w:t xml:space="preserve"> With these values, </w:t>
      </w:r>
      <w:r w:rsidR="00345569">
        <w:t xml:space="preserve">the grant delay (grant transmission + processing + PUSCH preparation) induce more than 50% </w:t>
      </w:r>
      <w:r w:rsidR="000258B9">
        <w:t xml:space="preserve">protocol latency </w:t>
      </w:r>
      <w:r w:rsidR="00345569">
        <w:t>overhead</w:t>
      </w:r>
      <w:r w:rsidR="00D20BC5">
        <w:t xml:space="preserve"> for scheduled UL transmissions</w:t>
      </w:r>
      <w:r w:rsidR="007C4DD7">
        <w:t xml:space="preserve"> </w:t>
      </w:r>
      <w:r w:rsidR="007C4DD7">
        <w:fldChar w:fldCharType="begin"/>
      </w:r>
      <w:r w:rsidR="007C4DD7">
        <w:instrText xml:space="preserve"> REF _Ref46490548 \r \h </w:instrText>
      </w:r>
      <w:r w:rsidR="007C4DD7">
        <w:fldChar w:fldCharType="separate"/>
      </w:r>
      <w:r w:rsidR="00CF206F">
        <w:t>[3]</w:t>
      </w:r>
      <w:r w:rsidR="007C4DD7">
        <w:fldChar w:fldCharType="end"/>
      </w:r>
      <w:r w:rsidR="00345569">
        <w:t xml:space="preserve">. </w:t>
      </w:r>
      <w:r w:rsidR="00DC6FC4">
        <w:t>Such large L1 latencies are clearly not compatible with designing high performance NR operation in the 52.6 to 71 GHz range</w:t>
      </w:r>
      <w:r w:rsidR="006E60BD">
        <w:t xml:space="preserve"> for a wide range of important use cases</w:t>
      </w:r>
      <w:r w:rsidR="00D65571">
        <w:t xml:space="preserve"> including, e.g., fa</w:t>
      </w:r>
      <w:r w:rsidR="009C27A5">
        <w:t>ctory automation and industrial IoT applications.</w:t>
      </w:r>
    </w:p>
    <w:p w14:paraId="189BCAFE" w14:textId="77777777" w:rsidR="00B80F4D" w:rsidRDefault="00B80F4D" w:rsidP="00296180">
      <w:pPr>
        <w:pStyle w:val="BodyText"/>
      </w:pPr>
    </w:p>
    <w:p w14:paraId="6C2311E9" w14:textId="4EF29813" w:rsidR="00916492" w:rsidRDefault="00916492" w:rsidP="00916492">
      <w:pPr>
        <w:pStyle w:val="Proposal"/>
      </w:pPr>
      <w:bookmarkStart w:id="128" w:name="_Toc47712040"/>
      <w:r w:rsidRPr="00726932">
        <w:t>UE processing timeline</w:t>
      </w:r>
      <w:r>
        <w:t>s</w:t>
      </w:r>
      <w:r w:rsidRPr="00726932">
        <w:t xml:space="preserve"> </w:t>
      </w:r>
      <w:r>
        <w:t>for SCS &gt; 120 kHz need to be further tightened vis-à-vis those for 120 kHz SCS to enable high performance NR operation in 52.6 to 71 GHz.</w:t>
      </w:r>
      <w:bookmarkEnd w:id="128"/>
      <w:r>
        <w:t xml:space="preserve"> </w:t>
      </w:r>
    </w:p>
    <w:p w14:paraId="285A2A3F" w14:textId="77777777" w:rsidR="00607C93" w:rsidRDefault="00607C93" w:rsidP="00296180">
      <w:pPr>
        <w:pStyle w:val="BodyText"/>
      </w:pPr>
    </w:p>
    <w:p w14:paraId="3FB86CCD" w14:textId="5F502A0B" w:rsidR="006723FC" w:rsidRDefault="006C509C" w:rsidP="00296180">
      <w:pPr>
        <w:pStyle w:val="BodyText"/>
      </w:pPr>
      <w:r>
        <w:t>As</w:t>
      </w:r>
      <w:r w:rsidR="00325B31">
        <w:t xml:space="preserve"> a first step to start the processing timeline discussion, </w:t>
      </w:r>
      <w:r w:rsidR="00975A09">
        <w:t xml:space="preserve">we </w:t>
      </w:r>
      <w:r w:rsidR="0025757D">
        <w:t xml:space="preserve">fit simple formulae to </w:t>
      </w:r>
      <w:r w:rsidR="002D53BB">
        <w:t xml:space="preserve">the </w:t>
      </w:r>
      <w:r w:rsidR="0025757D">
        <w:t xml:space="preserve">Rel-15 </w:t>
      </w:r>
      <w:r w:rsidR="00325994">
        <w:t>pr</w:t>
      </w:r>
      <w:r w:rsidR="008B11D9">
        <w:t>ocessing time</w:t>
      </w:r>
      <w:r w:rsidR="002D53BB">
        <w:t>s</w:t>
      </w:r>
      <w:r w:rsidR="00A25352">
        <w:t xml:space="preserve"> as the benchmark</w:t>
      </w:r>
      <w:r w:rsidR="004A392E">
        <w:t>s</w:t>
      </w:r>
      <w:r w:rsidR="00A25352">
        <w:t xml:space="preserve"> for </w:t>
      </w:r>
      <w:r w:rsidR="004A06D4">
        <w:t>NR operation in 52.6 to 71 GHz</w:t>
      </w:r>
      <w:r w:rsidR="002D53BB">
        <w:t xml:space="preserve">. Using the front loaded DMRS case as an example, </w:t>
      </w:r>
      <w:r w:rsidR="00C019D7">
        <w:t xml:space="preserve">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C019D7">
        <w:t xml:space="preserve"> </w:t>
      </w:r>
      <w:r w:rsidR="009E51F2">
        <w:t xml:space="preserve">for numerology </w:t>
      </w:r>
      <m:oMath>
        <m:r>
          <w:rPr>
            <w:rFonts w:ascii="Cambria Math" w:hAnsi="Cambria Math"/>
          </w:rPr>
          <m:t>μ</m:t>
        </m:r>
      </m:oMath>
      <w:r w:rsidR="006960D1">
        <w:t xml:space="preserve"> </w:t>
      </w:r>
      <w:r w:rsidR="00661FC6">
        <w:t xml:space="preserve">in terms of the number of OS in the </w:t>
      </w:r>
      <w:r w:rsidR="00686622">
        <w:t xml:space="preserve">respective </w:t>
      </w:r>
      <w:r w:rsidR="001C432A">
        <w:t xml:space="preserve">numerology </w:t>
      </w:r>
      <w:r w:rsidR="00BE750A">
        <w:t xml:space="preserve">can be approximated by </w:t>
      </w:r>
    </w:p>
    <w:p w14:paraId="3BC9FA52" w14:textId="4E94E930" w:rsidR="006723FC" w:rsidRDefault="00CF206F" w:rsidP="002961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1454F39C" w14:textId="686947BF" w:rsidR="00B26F71" w:rsidRDefault="000E6332" w:rsidP="00296180">
      <w:pPr>
        <w:pStyle w:val="BodyText"/>
      </w:pPr>
      <w:r>
        <w:rPr>
          <w:iCs/>
        </w:rPr>
        <w:t xml:space="preserve">which increases exponentially with the numerology as mentioned above. </w:t>
      </w:r>
      <w:r w:rsidR="00CD78FE">
        <w:rPr>
          <w:iCs/>
        </w:rPr>
        <w:t xml:space="preserve">The formula was optimized to minimize </w:t>
      </w:r>
      <w:r w:rsidR="001A170B">
        <w:rPr>
          <w:iCs/>
        </w:rPr>
        <w:t xml:space="preserve">the </w:t>
      </w:r>
      <w:r w:rsidR="00CD78FE">
        <w:rPr>
          <w:iCs/>
        </w:rPr>
        <w:t>mean absolute deviation</w:t>
      </w:r>
      <w:r w:rsidR="001A170B">
        <w:rPr>
          <w:iCs/>
        </w:rPr>
        <w:t xml:space="preserve"> from the Rel-15 values</w:t>
      </w:r>
      <w:r w:rsidR="00CD78FE">
        <w:rPr>
          <w:iCs/>
        </w:rPr>
        <w:t xml:space="preserve">. </w:t>
      </w:r>
      <w:r w:rsidR="00DD3DA5">
        <w:rPr>
          <w:iCs/>
        </w:rPr>
        <w:t xml:space="preserve">As tabulated in </w:t>
      </w:r>
      <w:r w:rsidR="00451313" w:rsidRPr="00465896">
        <w:rPr>
          <w:iCs/>
        </w:rPr>
        <w:fldChar w:fldCharType="begin"/>
      </w:r>
      <w:r w:rsidR="00451313" w:rsidRPr="00465896">
        <w:rPr>
          <w:iCs/>
        </w:rPr>
        <w:instrText xml:space="preserve"> REF _Ref46406873 \h </w:instrText>
      </w:r>
      <w:r w:rsidR="00465896" w:rsidRPr="00465896">
        <w:rPr>
          <w:iCs/>
        </w:rPr>
        <w:instrText xml:space="preserve"> \* MERGEFORMAT </w:instrText>
      </w:r>
      <w:r w:rsidR="00451313" w:rsidRPr="00465896">
        <w:rPr>
          <w:iCs/>
        </w:rPr>
      </w:r>
      <w:r w:rsidR="00451313" w:rsidRPr="00465896">
        <w:rPr>
          <w:iCs/>
        </w:rPr>
        <w:fldChar w:fldCharType="separate"/>
      </w:r>
      <w:r w:rsidR="00CF206F" w:rsidRPr="00F676BA">
        <w:t xml:space="preserve">Figure </w:t>
      </w:r>
      <w:r w:rsidR="00CF206F">
        <w:t>29</w:t>
      </w:r>
      <w:r w:rsidR="00451313" w:rsidRPr="00465896">
        <w:rPr>
          <w:iCs/>
        </w:rPr>
        <w:fldChar w:fldCharType="end"/>
      </w:r>
      <w:r w:rsidR="00DD3DA5">
        <w:rPr>
          <w:iCs/>
        </w:rPr>
        <w:t>,</w:t>
      </w:r>
      <w:r w:rsidR="00465896">
        <w:rPr>
          <w:iCs/>
        </w:rPr>
        <w:t xml:space="preserve"> </w:t>
      </w:r>
      <w:r w:rsidR="00E20524">
        <w:rPr>
          <w:iCs/>
        </w:rPr>
        <w:t xml:space="preserve">the benchmark for </w:t>
      </w:r>
      <w:r w:rsidR="008854CC">
        <w:t xml:space="preserve">PDSCH decoding time for </w:t>
      </w:r>
      <w:r w:rsidR="00363E08">
        <w:t>480 kHz SCS should be around 37 O</w:t>
      </w:r>
      <w:r w:rsidR="00D5237E">
        <w:t>S</w:t>
      </w:r>
      <w:r w:rsidR="00363E08">
        <w:t>s</w:t>
      </w:r>
      <w:r>
        <w:t xml:space="preserve"> rather than 80 OSs</w:t>
      </w:r>
      <w:r w:rsidR="00D5237E">
        <w:t>.</w:t>
      </w:r>
      <w:r w:rsidR="00363E08">
        <w:t xml:space="preserve"> </w:t>
      </w:r>
      <w:r w:rsidR="00D5237E">
        <w:t xml:space="preserve">For 960 kHz SCS, the benchmark </w:t>
      </w:r>
      <w:r w:rsidR="00143BA8">
        <w:t xml:space="preserve">should be around 50 </w:t>
      </w:r>
      <w:r w:rsidR="00FE4858">
        <w:t>OSs rather than 160 OSs.</w:t>
      </w:r>
    </w:p>
    <w:p w14:paraId="3F7167CB" w14:textId="679ED348" w:rsidR="001800A9" w:rsidRPr="00F676BA" w:rsidRDefault="001800A9" w:rsidP="00F676BA">
      <w:pPr>
        <w:pStyle w:val="TF"/>
        <w:keepLines w:val="0"/>
        <w:rPr>
          <w:lang w:val="en-US"/>
        </w:rPr>
      </w:pPr>
      <w:bookmarkStart w:id="129" w:name="_Ref46406873"/>
      <w:r w:rsidRPr="00F676BA">
        <w:rPr>
          <w:lang w:val="en-US"/>
        </w:rPr>
        <w:lastRenderedPageBreak/>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CF206F">
        <w:rPr>
          <w:noProof/>
          <w:lang w:val="en-US"/>
        </w:rPr>
        <w:t>29</w:t>
      </w:r>
      <w:r w:rsidRPr="00F676BA">
        <w:rPr>
          <w:lang w:val="en-US"/>
        </w:rPr>
        <w:fldChar w:fldCharType="end"/>
      </w:r>
      <w:bookmarkEnd w:id="129"/>
      <w:r w:rsidRPr="00F676BA">
        <w:rPr>
          <w:lang w:val="en-US"/>
        </w:rPr>
        <w:t>: Extrapolated PDSCH processing time for front loaded DMRS case</w:t>
      </w:r>
    </w:p>
    <w:tbl>
      <w:tblPr>
        <w:tblStyle w:val="TableGrid"/>
        <w:tblW w:w="9629" w:type="dxa"/>
        <w:tblLook w:val="04A0" w:firstRow="1" w:lastRow="0" w:firstColumn="1" w:lastColumn="0" w:noHBand="0" w:noVBand="1"/>
      </w:tblPr>
      <w:tblGrid>
        <w:gridCol w:w="1525"/>
        <w:gridCol w:w="1013"/>
        <w:gridCol w:w="1013"/>
        <w:gridCol w:w="1013"/>
        <w:gridCol w:w="1013"/>
        <w:gridCol w:w="1013"/>
        <w:gridCol w:w="1013"/>
        <w:gridCol w:w="1013"/>
        <w:gridCol w:w="1013"/>
      </w:tblGrid>
      <w:tr w:rsidR="00B26F71" w:rsidRPr="00713B6C" w14:paraId="5C725CC6" w14:textId="77777777" w:rsidTr="007A71A1">
        <w:trPr>
          <w:trHeight w:val="52"/>
        </w:trPr>
        <w:tc>
          <w:tcPr>
            <w:tcW w:w="1525" w:type="dxa"/>
            <w:tcBorders>
              <w:bottom w:val="double" w:sz="4" w:space="0" w:color="auto"/>
              <w:right w:val="double" w:sz="4" w:space="0" w:color="auto"/>
            </w:tcBorders>
            <w:vAlign w:val="center"/>
            <w:hideMark/>
          </w:tcPr>
          <w:p w14:paraId="33488BE8" w14:textId="77777777" w:rsidR="00B26F71" w:rsidRPr="00713B6C" w:rsidRDefault="00B26F71" w:rsidP="00B26F71">
            <w:pPr>
              <w:pStyle w:val="BodyText"/>
              <w:spacing w:before="40" w:after="40"/>
              <w:jc w:val="center"/>
              <w:rPr>
                <w:lang w:val="en-US"/>
              </w:rPr>
            </w:pPr>
            <w:r w:rsidRPr="00713B6C">
              <w:rPr>
                <w:lang w:val="en-US"/>
              </w:rPr>
              <w:t>SCS [kHz]</w:t>
            </w:r>
          </w:p>
        </w:tc>
        <w:tc>
          <w:tcPr>
            <w:tcW w:w="1013" w:type="dxa"/>
            <w:tcBorders>
              <w:left w:val="double" w:sz="4" w:space="0" w:color="auto"/>
              <w:bottom w:val="double" w:sz="4" w:space="0" w:color="auto"/>
            </w:tcBorders>
            <w:vAlign w:val="center"/>
            <w:hideMark/>
          </w:tcPr>
          <w:p w14:paraId="012C18A1" w14:textId="77777777" w:rsidR="00B26F71" w:rsidRPr="00713B6C" w:rsidRDefault="00B26F71" w:rsidP="00B26F71">
            <w:pPr>
              <w:pStyle w:val="BodyText"/>
              <w:spacing w:before="40" w:after="40"/>
              <w:jc w:val="center"/>
              <w:rPr>
                <w:lang w:val="en-US"/>
              </w:rPr>
            </w:pPr>
            <w:r w:rsidRPr="00713B6C">
              <w:rPr>
                <w:lang w:val="en-GB"/>
              </w:rPr>
              <w:t>15</w:t>
            </w:r>
          </w:p>
        </w:tc>
        <w:tc>
          <w:tcPr>
            <w:tcW w:w="1013" w:type="dxa"/>
            <w:tcBorders>
              <w:bottom w:val="double" w:sz="4" w:space="0" w:color="auto"/>
            </w:tcBorders>
            <w:vAlign w:val="center"/>
            <w:hideMark/>
          </w:tcPr>
          <w:p w14:paraId="13B987B2" w14:textId="77777777" w:rsidR="00B26F71" w:rsidRPr="00713B6C" w:rsidRDefault="00B26F71" w:rsidP="00B26F71">
            <w:pPr>
              <w:pStyle w:val="BodyText"/>
              <w:spacing w:before="40" w:after="40"/>
              <w:jc w:val="center"/>
              <w:rPr>
                <w:lang w:val="en-US"/>
              </w:rPr>
            </w:pPr>
            <w:r w:rsidRPr="00713B6C">
              <w:rPr>
                <w:lang w:val="en-GB"/>
              </w:rPr>
              <w:t>30</w:t>
            </w:r>
          </w:p>
        </w:tc>
        <w:tc>
          <w:tcPr>
            <w:tcW w:w="1013" w:type="dxa"/>
            <w:tcBorders>
              <w:bottom w:val="double" w:sz="4" w:space="0" w:color="auto"/>
            </w:tcBorders>
            <w:vAlign w:val="center"/>
            <w:hideMark/>
          </w:tcPr>
          <w:p w14:paraId="4F977BC6" w14:textId="77777777" w:rsidR="00B26F71" w:rsidRPr="00713B6C" w:rsidRDefault="00B26F71" w:rsidP="00B26F71">
            <w:pPr>
              <w:pStyle w:val="BodyText"/>
              <w:spacing w:before="40" w:after="40"/>
              <w:jc w:val="center"/>
              <w:rPr>
                <w:lang w:val="en-US"/>
              </w:rPr>
            </w:pPr>
            <w:r w:rsidRPr="00713B6C">
              <w:rPr>
                <w:lang w:val="en-GB"/>
              </w:rPr>
              <w:t>60</w:t>
            </w:r>
          </w:p>
        </w:tc>
        <w:tc>
          <w:tcPr>
            <w:tcW w:w="1013" w:type="dxa"/>
            <w:tcBorders>
              <w:bottom w:val="double" w:sz="4" w:space="0" w:color="auto"/>
            </w:tcBorders>
            <w:vAlign w:val="center"/>
            <w:hideMark/>
          </w:tcPr>
          <w:p w14:paraId="0174448C" w14:textId="77777777" w:rsidR="00B26F71" w:rsidRPr="00713B6C" w:rsidRDefault="00B26F71" w:rsidP="00B26F71">
            <w:pPr>
              <w:pStyle w:val="BodyText"/>
              <w:spacing w:before="40" w:after="40"/>
              <w:jc w:val="center"/>
              <w:rPr>
                <w:lang w:val="en-US"/>
              </w:rPr>
            </w:pPr>
            <w:r w:rsidRPr="00713B6C">
              <w:rPr>
                <w:lang w:val="en-GB"/>
              </w:rPr>
              <w:t>120</w:t>
            </w:r>
          </w:p>
        </w:tc>
        <w:tc>
          <w:tcPr>
            <w:tcW w:w="1013" w:type="dxa"/>
            <w:tcBorders>
              <w:bottom w:val="double" w:sz="4" w:space="0" w:color="auto"/>
            </w:tcBorders>
            <w:vAlign w:val="center"/>
            <w:hideMark/>
          </w:tcPr>
          <w:p w14:paraId="64764FFA" w14:textId="77777777" w:rsidR="00B26F71" w:rsidRPr="00713B6C" w:rsidRDefault="00B26F71" w:rsidP="00B26F71">
            <w:pPr>
              <w:pStyle w:val="BodyText"/>
              <w:spacing w:before="40" w:after="40"/>
              <w:jc w:val="center"/>
              <w:rPr>
                <w:lang w:val="en-US"/>
              </w:rPr>
            </w:pPr>
            <w:r w:rsidRPr="00713B6C">
              <w:rPr>
                <w:lang w:val="en-US"/>
              </w:rPr>
              <w:t>240</w:t>
            </w:r>
          </w:p>
        </w:tc>
        <w:tc>
          <w:tcPr>
            <w:tcW w:w="1013" w:type="dxa"/>
            <w:tcBorders>
              <w:bottom w:val="double" w:sz="4" w:space="0" w:color="auto"/>
            </w:tcBorders>
            <w:vAlign w:val="center"/>
            <w:hideMark/>
          </w:tcPr>
          <w:p w14:paraId="29E70E9A" w14:textId="77777777" w:rsidR="00B26F71" w:rsidRPr="00713B6C" w:rsidRDefault="00B26F71" w:rsidP="00B26F71">
            <w:pPr>
              <w:pStyle w:val="BodyText"/>
              <w:spacing w:before="40" w:after="40"/>
              <w:jc w:val="center"/>
              <w:rPr>
                <w:lang w:val="en-US"/>
              </w:rPr>
            </w:pPr>
            <w:r w:rsidRPr="00713B6C">
              <w:rPr>
                <w:lang w:val="en-US"/>
              </w:rPr>
              <w:t>480</w:t>
            </w:r>
          </w:p>
        </w:tc>
        <w:tc>
          <w:tcPr>
            <w:tcW w:w="1013" w:type="dxa"/>
            <w:tcBorders>
              <w:bottom w:val="double" w:sz="4" w:space="0" w:color="auto"/>
            </w:tcBorders>
            <w:vAlign w:val="center"/>
            <w:hideMark/>
          </w:tcPr>
          <w:p w14:paraId="2027F4A7" w14:textId="77777777" w:rsidR="00B26F71" w:rsidRPr="00713B6C" w:rsidRDefault="00B26F71" w:rsidP="00B26F71">
            <w:pPr>
              <w:pStyle w:val="BodyText"/>
              <w:spacing w:before="40" w:after="40"/>
              <w:jc w:val="center"/>
              <w:rPr>
                <w:lang w:val="en-US"/>
              </w:rPr>
            </w:pPr>
            <w:r w:rsidRPr="00713B6C">
              <w:rPr>
                <w:lang w:val="en-US"/>
              </w:rPr>
              <w:t>960</w:t>
            </w:r>
          </w:p>
        </w:tc>
        <w:tc>
          <w:tcPr>
            <w:tcW w:w="1013" w:type="dxa"/>
            <w:tcBorders>
              <w:bottom w:val="double" w:sz="4" w:space="0" w:color="auto"/>
            </w:tcBorders>
            <w:vAlign w:val="center"/>
            <w:hideMark/>
          </w:tcPr>
          <w:p w14:paraId="37E161D1" w14:textId="77777777" w:rsidR="00B26F71" w:rsidRPr="00713B6C" w:rsidRDefault="00B26F71" w:rsidP="00B26F71">
            <w:pPr>
              <w:pStyle w:val="BodyText"/>
              <w:spacing w:before="40" w:after="40"/>
              <w:jc w:val="center"/>
              <w:rPr>
                <w:lang w:val="en-US"/>
              </w:rPr>
            </w:pPr>
            <w:r w:rsidRPr="00713B6C">
              <w:rPr>
                <w:lang w:val="en-US"/>
              </w:rPr>
              <w:t>1920</w:t>
            </w:r>
          </w:p>
        </w:tc>
      </w:tr>
      <w:tr w:rsidR="00B26F71" w:rsidRPr="00713B6C" w14:paraId="29EC3518" w14:textId="77777777" w:rsidTr="007A71A1">
        <w:trPr>
          <w:trHeight w:val="52"/>
        </w:trPr>
        <w:tc>
          <w:tcPr>
            <w:tcW w:w="1525" w:type="dxa"/>
            <w:tcBorders>
              <w:top w:val="double" w:sz="4" w:space="0" w:color="auto"/>
              <w:right w:val="double" w:sz="4" w:space="0" w:color="auto"/>
            </w:tcBorders>
            <w:vAlign w:val="center"/>
            <w:hideMark/>
          </w:tcPr>
          <w:p w14:paraId="2A5E0D92" w14:textId="77777777" w:rsidR="00B26F71" w:rsidRPr="00713B6C" w:rsidRDefault="00B26F71" w:rsidP="00B26F71">
            <w:pPr>
              <w:pStyle w:val="BodyText"/>
              <w:spacing w:before="40" w:after="40"/>
              <w:jc w:val="center"/>
              <w:rPr>
                <w:lang w:val="en-US"/>
              </w:rPr>
            </w:pPr>
            <w:r w:rsidRPr="00713B6C">
              <w:rPr>
                <w:lang w:val="en-US"/>
              </w:rPr>
              <w:t>N</w:t>
            </w:r>
            <w:r w:rsidRPr="00713B6C">
              <w:rPr>
                <w:vertAlign w:val="subscript"/>
                <w:lang w:val="en-US"/>
              </w:rPr>
              <w:t>1</w:t>
            </w:r>
            <w:r w:rsidRPr="00713B6C">
              <w:rPr>
                <w:lang w:val="en-US"/>
              </w:rPr>
              <w:t xml:space="preserve"> [OS]</w:t>
            </w:r>
          </w:p>
        </w:tc>
        <w:tc>
          <w:tcPr>
            <w:tcW w:w="1013" w:type="dxa"/>
            <w:tcBorders>
              <w:top w:val="double" w:sz="4" w:space="0" w:color="auto"/>
              <w:left w:val="double" w:sz="4" w:space="0" w:color="auto"/>
            </w:tcBorders>
            <w:vAlign w:val="center"/>
            <w:hideMark/>
          </w:tcPr>
          <w:p w14:paraId="753B5441" w14:textId="77777777" w:rsidR="00B26F71" w:rsidRPr="00713B6C" w:rsidRDefault="00B26F71" w:rsidP="00B26F71">
            <w:pPr>
              <w:pStyle w:val="BodyText"/>
              <w:spacing w:before="40" w:after="40"/>
              <w:jc w:val="center"/>
              <w:rPr>
                <w:b/>
                <w:bCs/>
                <w:lang w:val="en-US"/>
              </w:rPr>
            </w:pPr>
            <w:r w:rsidRPr="00713B6C">
              <w:rPr>
                <w:b/>
                <w:bCs/>
                <w:lang w:val="en-GB"/>
              </w:rPr>
              <w:t>8</w:t>
            </w:r>
          </w:p>
        </w:tc>
        <w:tc>
          <w:tcPr>
            <w:tcW w:w="1013" w:type="dxa"/>
            <w:tcBorders>
              <w:top w:val="double" w:sz="4" w:space="0" w:color="auto"/>
            </w:tcBorders>
            <w:vAlign w:val="center"/>
            <w:hideMark/>
          </w:tcPr>
          <w:p w14:paraId="001C46FD" w14:textId="77777777" w:rsidR="00B26F71" w:rsidRPr="00713B6C" w:rsidRDefault="00B26F71" w:rsidP="00B26F71">
            <w:pPr>
              <w:pStyle w:val="BodyText"/>
              <w:spacing w:before="40" w:after="40"/>
              <w:jc w:val="center"/>
              <w:rPr>
                <w:b/>
                <w:bCs/>
                <w:lang w:val="en-US"/>
              </w:rPr>
            </w:pPr>
            <w:r w:rsidRPr="00713B6C">
              <w:rPr>
                <w:b/>
                <w:bCs/>
                <w:lang w:val="en-GB"/>
              </w:rPr>
              <w:t>10</w:t>
            </w:r>
          </w:p>
        </w:tc>
        <w:tc>
          <w:tcPr>
            <w:tcW w:w="1013" w:type="dxa"/>
            <w:tcBorders>
              <w:top w:val="double" w:sz="4" w:space="0" w:color="auto"/>
            </w:tcBorders>
            <w:vAlign w:val="center"/>
            <w:hideMark/>
          </w:tcPr>
          <w:p w14:paraId="57DC17AC" w14:textId="77777777" w:rsidR="00B26F71" w:rsidRPr="00713B6C" w:rsidRDefault="00B26F71" w:rsidP="00B26F71">
            <w:pPr>
              <w:pStyle w:val="BodyText"/>
              <w:spacing w:before="40" w:after="40"/>
              <w:jc w:val="center"/>
              <w:rPr>
                <w:b/>
                <w:bCs/>
                <w:lang w:val="en-US"/>
              </w:rPr>
            </w:pPr>
            <w:r w:rsidRPr="00713B6C">
              <w:rPr>
                <w:b/>
                <w:bCs/>
                <w:lang w:val="en-GB"/>
              </w:rPr>
              <w:t>17</w:t>
            </w:r>
          </w:p>
        </w:tc>
        <w:tc>
          <w:tcPr>
            <w:tcW w:w="1013" w:type="dxa"/>
            <w:tcBorders>
              <w:top w:val="double" w:sz="4" w:space="0" w:color="auto"/>
            </w:tcBorders>
            <w:vAlign w:val="center"/>
            <w:hideMark/>
          </w:tcPr>
          <w:p w14:paraId="3185116E" w14:textId="77777777" w:rsidR="00B26F71" w:rsidRPr="00713B6C" w:rsidRDefault="00B26F71" w:rsidP="00B26F71">
            <w:pPr>
              <w:pStyle w:val="BodyText"/>
              <w:spacing w:before="40" w:after="40"/>
              <w:jc w:val="center"/>
              <w:rPr>
                <w:b/>
                <w:bCs/>
                <w:lang w:val="en-US"/>
              </w:rPr>
            </w:pPr>
            <w:r w:rsidRPr="00713B6C">
              <w:rPr>
                <w:b/>
                <w:bCs/>
                <w:lang w:val="en-GB"/>
              </w:rPr>
              <w:t>20</w:t>
            </w:r>
          </w:p>
        </w:tc>
        <w:tc>
          <w:tcPr>
            <w:tcW w:w="1013" w:type="dxa"/>
            <w:tcBorders>
              <w:top w:val="double" w:sz="4" w:space="0" w:color="auto"/>
            </w:tcBorders>
            <w:vAlign w:val="center"/>
            <w:hideMark/>
          </w:tcPr>
          <w:p w14:paraId="58FA790F"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1C0314F6"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3D47D30C"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07783740" w14:textId="77777777" w:rsidR="00B26F71" w:rsidRPr="00713B6C" w:rsidRDefault="00B26F71" w:rsidP="00B26F71">
            <w:pPr>
              <w:pStyle w:val="BodyText"/>
              <w:spacing w:before="40" w:after="40"/>
              <w:jc w:val="center"/>
              <w:rPr>
                <w:lang w:val="en-US"/>
              </w:rPr>
            </w:pPr>
          </w:p>
        </w:tc>
      </w:tr>
      <w:tr w:rsidR="0077232B" w:rsidRPr="00713B6C" w14:paraId="0F31168C" w14:textId="77777777" w:rsidTr="007A71A1">
        <w:trPr>
          <w:trHeight w:val="52"/>
        </w:trPr>
        <w:tc>
          <w:tcPr>
            <w:tcW w:w="1525" w:type="dxa"/>
            <w:tcBorders>
              <w:right w:val="double" w:sz="4" w:space="0" w:color="auto"/>
            </w:tcBorders>
            <w:vAlign w:val="center"/>
            <w:hideMark/>
          </w:tcPr>
          <w:p w14:paraId="65BD9EF3" w14:textId="77777777" w:rsidR="0077232B" w:rsidRPr="00713B6C" w:rsidRDefault="0077232B" w:rsidP="0077232B">
            <w:pPr>
              <w:pStyle w:val="BodyText"/>
              <w:spacing w:before="40" w:after="40"/>
              <w:jc w:val="center"/>
              <w:rPr>
                <w:lang w:val="en-US"/>
              </w:rPr>
            </w:pPr>
            <w:r w:rsidRPr="00713B6C">
              <w:rPr>
                <w:lang w:val="en-US"/>
              </w:rPr>
              <w:t>Estimate [OS]</w:t>
            </w:r>
          </w:p>
        </w:tc>
        <w:tc>
          <w:tcPr>
            <w:tcW w:w="1013" w:type="dxa"/>
            <w:tcBorders>
              <w:left w:val="double" w:sz="4" w:space="0" w:color="auto"/>
            </w:tcBorders>
            <w:vAlign w:val="center"/>
            <w:hideMark/>
          </w:tcPr>
          <w:p w14:paraId="3687CA30" w14:textId="77777777" w:rsidR="0077232B" w:rsidRPr="00713B6C" w:rsidRDefault="0077232B" w:rsidP="0077232B">
            <w:pPr>
              <w:pStyle w:val="BodyText"/>
              <w:spacing w:before="40" w:after="40"/>
              <w:jc w:val="center"/>
              <w:rPr>
                <w:lang w:val="en-US"/>
              </w:rPr>
            </w:pPr>
            <w:r w:rsidRPr="00713B6C">
              <w:rPr>
                <w:lang w:val="en-US"/>
              </w:rPr>
              <w:t>8</w:t>
            </w:r>
          </w:p>
        </w:tc>
        <w:tc>
          <w:tcPr>
            <w:tcW w:w="1013" w:type="dxa"/>
            <w:vAlign w:val="center"/>
            <w:hideMark/>
          </w:tcPr>
          <w:p w14:paraId="12645B39" w14:textId="77777777" w:rsidR="0077232B" w:rsidRPr="00713B6C" w:rsidRDefault="0077232B" w:rsidP="0077232B">
            <w:pPr>
              <w:pStyle w:val="BodyText"/>
              <w:spacing w:before="40" w:after="40"/>
              <w:jc w:val="center"/>
              <w:rPr>
                <w:lang w:val="en-US"/>
              </w:rPr>
            </w:pPr>
            <w:r w:rsidRPr="00713B6C">
              <w:rPr>
                <w:lang w:val="en-US"/>
              </w:rPr>
              <w:t>11</w:t>
            </w:r>
          </w:p>
        </w:tc>
        <w:tc>
          <w:tcPr>
            <w:tcW w:w="1013" w:type="dxa"/>
            <w:vAlign w:val="center"/>
            <w:hideMark/>
          </w:tcPr>
          <w:p w14:paraId="2F0C4DA2" w14:textId="77777777" w:rsidR="0077232B" w:rsidRPr="00713B6C" w:rsidRDefault="0077232B" w:rsidP="0077232B">
            <w:pPr>
              <w:pStyle w:val="BodyText"/>
              <w:spacing w:before="40" w:after="40"/>
              <w:jc w:val="center"/>
              <w:rPr>
                <w:lang w:val="en-US"/>
              </w:rPr>
            </w:pPr>
            <w:r w:rsidRPr="00713B6C">
              <w:rPr>
                <w:lang w:val="en-US"/>
              </w:rPr>
              <w:t>15</w:t>
            </w:r>
          </w:p>
        </w:tc>
        <w:tc>
          <w:tcPr>
            <w:tcW w:w="1013" w:type="dxa"/>
            <w:vAlign w:val="center"/>
            <w:hideMark/>
          </w:tcPr>
          <w:p w14:paraId="060B14F9" w14:textId="77777777" w:rsidR="0077232B" w:rsidRPr="00713B6C" w:rsidRDefault="0077232B" w:rsidP="0077232B">
            <w:pPr>
              <w:pStyle w:val="BodyText"/>
              <w:spacing w:before="40" w:after="40"/>
              <w:jc w:val="center"/>
              <w:rPr>
                <w:lang w:val="en-US"/>
              </w:rPr>
            </w:pPr>
            <w:r w:rsidRPr="00713B6C">
              <w:rPr>
                <w:lang w:val="en-US"/>
              </w:rPr>
              <w:t>20</w:t>
            </w:r>
          </w:p>
        </w:tc>
        <w:tc>
          <w:tcPr>
            <w:tcW w:w="1013" w:type="dxa"/>
            <w:vAlign w:val="center"/>
            <w:hideMark/>
          </w:tcPr>
          <w:p w14:paraId="7230551E" w14:textId="33414EDC" w:rsidR="0077232B" w:rsidRPr="00713B6C" w:rsidRDefault="0077232B" w:rsidP="0077232B">
            <w:pPr>
              <w:pStyle w:val="BodyText"/>
              <w:spacing w:before="40" w:after="40"/>
              <w:jc w:val="center"/>
              <w:rPr>
                <w:lang w:val="en-US"/>
              </w:rPr>
            </w:pPr>
            <w:r w:rsidRPr="0077232B">
              <w:rPr>
                <w:lang w:val="en-US"/>
              </w:rPr>
              <w:t>27</w:t>
            </w:r>
          </w:p>
        </w:tc>
        <w:tc>
          <w:tcPr>
            <w:tcW w:w="1013" w:type="dxa"/>
            <w:vAlign w:val="center"/>
            <w:hideMark/>
          </w:tcPr>
          <w:p w14:paraId="433E56BC" w14:textId="6F550E23" w:rsidR="0077232B" w:rsidRPr="00713B6C" w:rsidRDefault="0077232B" w:rsidP="0077232B">
            <w:pPr>
              <w:pStyle w:val="BodyText"/>
              <w:spacing w:before="40" w:after="40"/>
              <w:jc w:val="center"/>
              <w:rPr>
                <w:lang w:val="en-US"/>
              </w:rPr>
            </w:pPr>
            <w:r w:rsidRPr="0077232B">
              <w:rPr>
                <w:lang w:val="en-US"/>
              </w:rPr>
              <w:t>37</w:t>
            </w:r>
          </w:p>
        </w:tc>
        <w:tc>
          <w:tcPr>
            <w:tcW w:w="1013" w:type="dxa"/>
            <w:vAlign w:val="center"/>
            <w:hideMark/>
          </w:tcPr>
          <w:p w14:paraId="4992476F" w14:textId="4C5F15E9" w:rsidR="0077232B" w:rsidRPr="00713B6C" w:rsidRDefault="0077232B" w:rsidP="0077232B">
            <w:pPr>
              <w:pStyle w:val="BodyText"/>
              <w:spacing w:before="40" w:after="40"/>
              <w:jc w:val="center"/>
              <w:rPr>
                <w:lang w:val="en-US"/>
              </w:rPr>
            </w:pPr>
            <w:r w:rsidRPr="0077232B">
              <w:rPr>
                <w:lang w:val="en-US"/>
              </w:rPr>
              <w:t>50</w:t>
            </w:r>
          </w:p>
        </w:tc>
        <w:tc>
          <w:tcPr>
            <w:tcW w:w="1013" w:type="dxa"/>
            <w:vAlign w:val="center"/>
            <w:hideMark/>
          </w:tcPr>
          <w:p w14:paraId="0BCB3EB3" w14:textId="6974984A" w:rsidR="0077232B" w:rsidRPr="00713B6C" w:rsidRDefault="0077232B" w:rsidP="0077232B">
            <w:pPr>
              <w:pStyle w:val="BodyText"/>
              <w:spacing w:before="40" w:after="40"/>
              <w:jc w:val="center"/>
              <w:rPr>
                <w:lang w:val="en-US"/>
              </w:rPr>
            </w:pPr>
            <w:r w:rsidRPr="0077232B">
              <w:rPr>
                <w:lang w:val="en-US"/>
              </w:rPr>
              <w:t>68</w:t>
            </w:r>
          </w:p>
        </w:tc>
      </w:tr>
      <w:tr w:rsidR="00B26F71" w:rsidRPr="009A1793" w14:paraId="4F1B5571" w14:textId="77777777" w:rsidTr="007A71A1">
        <w:trPr>
          <w:trHeight w:val="52"/>
        </w:trPr>
        <w:tc>
          <w:tcPr>
            <w:tcW w:w="1525" w:type="dxa"/>
            <w:tcBorders>
              <w:right w:val="double" w:sz="4" w:space="0" w:color="auto"/>
            </w:tcBorders>
            <w:vAlign w:val="center"/>
            <w:hideMark/>
          </w:tcPr>
          <w:p w14:paraId="693AB134" w14:textId="77777777" w:rsidR="00B26F71" w:rsidRPr="009A1793" w:rsidRDefault="00B26F71" w:rsidP="00B26F71">
            <w:pPr>
              <w:pStyle w:val="BodyText"/>
              <w:spacing w:before="40" w:after="40"/>
              <w:jc w:val="center"/>
            </w:pPr>
            <w:r w:rsidRPr="009A1793">
              <w:t>Estimate [</w:t>
            </w:r>
            <w:r w:rsidRPr="009A1793">
              <w:rPr>
                <w:lang w:val="el-GR"/>
              </w:rPr>
              <w:t>μ</w:t>
            </w:r>
            <w:r w:rsidRPr="009A1793">
              <w:t>s]</w:t>
            </w:r>
          </w:p>
        </w:tc>
        <w:tc>
          <w:tcPr>
            <w:tcW w:w="1013" w:type="dxa"/>
            <w:tcBorders>
              <w:left w:val="double" w:sz="4" w:space="0" w:color="auto"/>
            </w:tcBorders>
            <w:vAlign w:val="center"/>
            <w:hideMark/>
          </w:tcPr>
          <w:p w14:paraId="0BAD0883" w14:textId="77777777" w:rsidR="00B26F71" w:rsidRPr="009A1793" w:rsidRDefault="00B26F71" w:rsidP="00B26F71">
            <w:pPr>
              <w:pStyle w:val="BodyText"/>
              <w:spacing w:before="40" w:after="40"/>
              <w:jc w:val="center"/>
            </w:pPr>
            <w:r w:rsidRPr="009A1793">
              <w:t>571</w:t>
            </w:r>
          </w:p>
        </w:tc>
        <w:tc>
          <w:tcPr>
            <w:tcW w:w="1013" w:type="dxa"/>
            <w:vAlign w:val="center"/>
            <w:hideMark/>
          </w:tcPr>
          <w:p w14:paraId="082C3D4B" w14:textId="77777777" w:rsidR="00B26F71" w:rsidRPr="009A1793" w:rsidRDefault="00B26F71" w:rsidP="00B26F71">
            <w:pPr>
              <w:pStyle w:val="BodyText"/>
              <w:spacing w:before="40" w:after="40"/>
              <w:jc w:val="center"/>
            </w:pPr>
            <w:r w:rsidRPr="009A1793">
              <w:t>388</w:t>
            </w:r>
          </w:p>
        </w:tc>
        <w:tc>
          <w:tcPr>
            <w:tcW w:w="1013" w:type="dxa"/>
            <w:vAlign w:val="center"/>
            <w:hideMark/>
          </w:tcPr>
          <w:p w14:paraId="24382676" w14:textId="77777777" w:rsidR="00B26F71" w:rsidRPr="009A1793" w:rsidRDefault="00B26F71" w:rsidP="00B26F71">
            <w:pPr>
              <w:pStyle w:val="BodyText"/>
              <w:spacing w:before="40" w:after="40"/>
              <w:jc w:val="center"/>
            </w:pPr>
            <w:r w:rsidRPr="009A1793">
              <w:t>263</w:t>
            </w:r>
          </w:p>
        </w:tc>
        <w:tc>
          <w:tcPr>
            <w:tcW w:w="1013" w:type="dxa"/>
            <w:vAlign w:val="center"/>
            <w:hideMark/>
          </w:tcPr>
          <w:p w14:paraId="192849E5" w14:textId="77777777" w:rsidR="00B26F71" w:rsidRPr="009A1793" w:rsidRDefault="00B26F71" w:rsidP="00B26F71">
            <w:pPr>
              <w:pStyle w:val="BodyText"/>
              <w:spacing w:before="40" w:after="40"/>
              <w:jc w:val="center"/>
            </w:pPr>
            <w:r w:rsidRPr="009A1793">
              <w:t>179</w:t>
            </w:r>
          </w:p>
        </w:tc>
        <w:tc>
          <w:tcPr>
            <w:tcW w:w="1013" w:type="dxa"/>
            <w:vAlign w:val="center"/>
            <w:hideMark/>
          </w:tcPr>
          <w:p w14:paraId="39A7A58B" w14:textId="77777777" w:rsidR="00B26F71" w:rsidRPr="009A1793" w:rsidRDefault="00B26F71" w:rsidP="00B26F71">
            <w:pPr>
              <w:pStyle w:val="BodyText"/>
              <w:spacing w:before="40" w:after="40"/>
              <w:jc w:val="center"/>
            </w:pPr>
            <w:r w:rsidRPr="009A1793">
              <w:t>121</w:t>
            </w:r>
          </w:p>
        </w:tc>
        <w:tc>
          <w:tcPr>
            <w:tcW w:w="1013" w:type="dxa"/>
            <w:vAlign w:val="center"/>
            <w:hideMark/>
          </w:tcPr>
          <w:p w14:paraId="6F8686AE" w14:textId="77777777" w:rsidR="00B26F71" w:rsidRPr="009A1793" w:rsidRDefault="00B26F71" w:rsidP="00B26F71">
            <w:pPr>
              <w:pStyle w:val="BodyText"/>
              <w:spacing w:before="40" w:after="40"/>
              <w:jc w:val="center"/>
            </w:pPr>
            <w:r w:rsidRPr="009A1793">
              <w:t>82</w:t>
            </w:r>
          </w:p>
        </w:tc>
        <w:tc>
          <w:tcPr>
            <w:tcW w:w="1013" w:type="dxa"/>
            <w:vAlign w:val="center"/>
            <w:hideMark/>
          </w:tcPr>
          <w:p w14:paraId="16E9C277" w14:textId="77777777" w:rsidR="00B26F71" w:rsidRPr="009A1793" w:rsidRDefault="00B26F71" w:rsidP="00B26F71">
            <w:pPr>
              <w:pStyle w:val="BodyText"/>
              <w:spacing w:before="40" w:after="40"/>
              <w:jc w:val="center"/>
            </w:pPr>
            <w:r w:rsidRPr="009A1793">
              <w:t>56</w:t>
            </w:r>
          </w:p>
        </w:tc>
        <w:tc>
          <w:tcPr>
            <w:tcW w:w="1013" w:type="dxa"/>
            <w:vAlign w:val="center"/>
            <w:hideMark/>
          </w:tcPr>
          <w:p w14:paraId="20D60F72" w14:textId="77777777" w:rsidR="00B26F71" w:rsidRPr="009A1793" w:rsidRDefault="00B26F71" w:rsidP="00B26F71">
            <w:pPr>
              <w:pStyle w:val="BodyText"/>
              <w:spacing w:before="40" w:after="40"/>
              <w:jc w:val="center"/>
            </w:pPr>
            <w:r w:rsidRPr="009A1793">
              <w:t>38</w:t>
            </w:r>
          </w:p>
        </w:tc>
      </w:tr>
    </w:tbl>
    <w:p w14:paraId="738C27B2" w14:textId="77777777" w:rsidR="00257207" w:rsidRDefault="00257207" w:rsidP="00296180">
      <w:pPr>
        <w:pStyle w:val="BodyText"/>
      </w:pPr>
    </w:p>
    <w:p w14:paraId="1B32CE17" w14:textId="77777777" w:rsidR="006723FC" w:rsidRDefault="00471D59" w:rsidP="00296180">
      <w:pPr>
        <w:pStyle w:val="BodyText"/>
      </w:pPr>
      <w:r>
        <w:t xml:space="preserve">The Rel-15 </w:t>
      </w:r>
      <w:r w:rsidR="00FD00B8">
        <w:t xml:space="preserve">PUSCH </w:t>
      </w:r>
      <w:r w:rsidR="00C00891">
        <w:t>scheduling latency</w:t>
      </w:r>
      <w:r w:rsidR="00FD00B8">
        <w:t xml:space="preserve"> can be similarly fitted to a simple formula</w:t>
      </w:r>
      <w:r w:rsidR="00C00891">
        <w:t xml:space="preserve">.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C00891">
        <w:t xml:space="preserve"> for numerology </w:t>
      </w:r>
      <m:oMath>
        <m:r>
          <w:rPr>
            <w:rFonts w:ascii="Cambria Math" w:hAnsi="Cambria Math"/>
          </w:rPr>
          <m:t>μ</m:t>
        </m:r>
      </m:oMath>
      <w:r w:rsidR="00C00891">
        <w:t xml:space="preserve"> in terms of the number of OS in the respective numerology can be approximated by</w:t>
      </w:r>
    </w:p>
    <w:p w14:paraId="63C43496" w14:textId="77777777" w:rsidR="006723FC" w:rsidRDefault="00CF206F" w:rsidP="002961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5AB2CA34" w14:textId="1035D582" w:rsidR="00C00891" w:rsidRDefault="0020763C" w:rsidP="00296180">
      <w:pPr>
        <w:pStyle w:val="BodyText"/>
      </w:pPr>
      <w:r>
        <w:rPr>
          <w:iCs/>
        </w:rPr>
        <w:t xml:space="preserve">As tabulated in </w:t>
      </w:r>
      <w:r w:rsidRPr="0020763C">
        <w:rPr>
          <w:iCs/>
        </w:rPr>
        <w:fldChar w:fldCharType="begin"/>
      </w:r>
      <w:r w:rsidRPr="0020763C">
        <w:rPr>
          <w:iCs/>
        </w:rPr>
        <w:instrText xml:space="preserve"> REF _Ref46407328 \h  \* MERGEFORMAT </w:instrText>
      </w:r>
      <w:r w:rsidRPr="0020763C">
        <w:rPr>
          <w:iCs/>
        </w:rPr>
      </w:r>
      <w:r w:rsidRPr="0020763C">
        <w:rPr>
          <w:iCs/>
        </w:rPr>
        <w:fldChar w:fldCharType="separate"/>
      </w:r>
      <w:r w:rsidR="00CF206F" w:rsidRPr="00F676BA">
        <w:t xml:space="preserve">Figure </w:t>
      </w:r>
      <w:r w:rsidR="00CF206F">
        <w:t>30</w:t>
      </w:r>
      <w:r w:rsidRPr="0020763C">
        <w:rPr>
          <w:iCs/>
        </w:rPr>
        <w:fldChar w:fldCharType="end"/>
      </w:r>
      <w:r>
        <w:rPr>
          <w:iCs/>
        </w:rPr>
        <w:t xml:space="preserve">, the benchmark for </w:t>
      </w:r>
      <w:r>
        <w:t>P</w:t>
      </w:r>
      <w:r w:rsidR="00FC4359">
        <w:t>U</w:t>
      </w:r>
      <w:r>
        <w:t xml:space="preserve">SCH </w:t>
      </w:r>
      <w:r w:rsidR="00FC4359">
        <w:t>preparation</w:t>
      </w:r>
      <w:r>
        <w:t xml:space="preserve"> time for 480 kHz SCS should be </w:t>
      </w:r>
      <w:r w:rsidR="00FD1B9F">
        <w:t xml:space="preserve">less than </w:t>
      </w:r>
      <w:r w:rsidR="00F5422C">
        <w:t>7 slots</w:t>
      </w:r>
      <w:r>
        <w:t xml:space="preserve">. For 960 kHz SCS, the benchmark should be around </w:t>
      </w:r>
      <w:r w:rsidR="00F95193">
        <w:t>1</w:t>
      </w:r>
      <w:r w:rsidR="00DB39BD">
        <w:t>0 slots</w:t>
      </w:r>
      <w:r>
        <w:t xml:space="preserve"> rather than</w:t>
      </w:r>
      <w:r w:rsidR="00DB39BD">
        <w:t xml:space="preserve"> 20 slots</w:t>
      </w:r>
      <w:r>
        <w:t>.</w:t>
      </w:r>
    </w:p>
    <w:p w14:paraId="3B0658E9" w14:textId="13BD0398" w:rsidR="009356D3" w:rsidRPr="00F676BA" w:rsidRDefault="009356D3" w:rsidP="00F676BA">
      <w:pPr>
        <w:pStyle w:val="TF"/>
        <w:keepLines w:val="0"/>
        <w:rPr>
          <w:lang w:val="en-US"/>
        </w:rPr>
      </w:pPr>
      <w:bookmarkStart w:id="130" w:name="_Ref46407328"/>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CF206F">
        <w:rPr>
          <w:noProof/>
          <w:lang w:val="en-US"/>
        </w:rPr>
        <w:t>30</w:t>
      </w:r>
      <w:r w:rsidRPr="00F676BA">
        <w:rPr>
          <w:lang w:val="en-US"/>
        </w:rPr>
        <w:fldChar w:fldCharType="end"/>
      </w:r>
      <w:bookmarkEnd w:id="130"/>
      <w:r w:rsidRPr="00F676BA">
        <w:rPr>
          <w:lang w:val="en-US"/>
        </w:rPr>
        <w:t>: Extrapolated PUSCH preparation time</w:t>
      </w:r>
    </w:p>
    <w:tbl>
      <w:tblPr>
        <w:tblStyle w:val="TableGrid"/>
        <w:tblW w:w="9629" w:type="dxa"/>
        <w:tblLook w:val="04A0" w:firstRow="1" w:lastRow="0" w:firstColumn="1" w:lastColumn="0" w:noHBand="0" w:noVBand="1"/>
      </w:tblPr>
      <w:tblGrid>
        <w:gridCol w:w="1525"/>
        <w:gridCol w:w="1013"/>
        <w:gridCol w:w="1013"/>
        <w:gridCol w:w="1013"/>
        <w:gridCol w:w="1013"/>
        <w:gridCol w:w="1013"/>
        <w:gridCol w:w="1013"/>
        <w:gridCol w:w="1013"/>
        <w:gridCol w:w="1013"/>
      </w:tblGrid>
      <w:tr w:rsidR="009356D3" w:rsidRPr="00713B6C" w14:paraId="1079A62D" w14:textId="77777777" w:rsidTr="00FD7A5F">
        <w:trPr>
          <w:trHeight w:val="52"/>
        </w:trPr>
        <w:tc>
          <w:tcPr>
            <w:tcW w:w="1525" w:type="dxa"/>
            <w:tcBorders>
              <w:bottom w:val="double" w:sz="4" w:space="0" w:color="auto"/>
              <w:right w:val="double" w:sz="4" w:space="0" w:color="auto"/>
            </w:tcBorders>
            <w:vAlign w:val="center"/>
            <w:hideMark/>
          </w:tcPr>
          <w:p w14:paraId="7D8DA5C7" w14:textId="77777777" w:rsidR="009356D3" w:rsidRPr="00713B6C" w:rsidRDefault="009356D3" w:rsidP="00FD7A5F">
            <w:pPr>
              <w:pStyle w:val="BodyText"/>
              <w:spacing w:before="40" w:after="40"/>
              <w:jc w:val="center"/>
              <w:rPr>
                <w:lang w:val="en-US"/>
              </w:rPr>
            </w:pPr>
            <w:r w:rsidRPr="00713B6C">
              <w:rPr>
                <w:lang w:val="en-US"/>
              </w:rPr>
              <w:t>SCS [kHz]</w:t>
            </w:r>
          </w:p>
        </w:tc>
        <w:tc>
          <w:tcPr>
            <w:tcW w:w="1013" w:type="dxa"/>
            <w:tcBorders>
              <w:left w:val="double" w:sz="4" w:space="0" w:color="auto"/>
              <w:bottom w:val="double" w:sz="4" w:space="0" w:color="auto"/>
            </w:tcBorders>
            <w:vAlign w:val="center"/>
            <w:hideMark/>
          </w:tcPr>
          <w:p w14:paraId="3E1DB9E8" w14:textId="77777777" w:rsidR="009356D3" w:rsidRPr="00713B6C" w:rsidRDefault="009356D3" w:rsidP="00FD7A5F">
            <w:pPr>
              <w:pStyle w:val="BodyText"/>
              <w:spacing w:before="40" w:after="40"/>
              <w:jc w:val="center"/>
              <w:rPr>
                <w:lang w:val="en-US"/>
              </w:rPr>
            </w:pPr>
            <w:r w:rsidRPr="00713B6C">
              <w:rPr>
                <w:lang w:val="en-GB"/>
              </w:rPr>
              <w:t>15</w:t>
            </w:r>
          </w:p>
        </w:tc>
        <w:tc>
          <w:tcPr>
            <w:tcW w:w="1013" w:type="dxa"/>
            <w:tcBorders>
              <w:bottom w:val="double" w:sz="4" w:space="0" w:color="auto"/>
            </w:tcBorders>
            <w:vAlign w:val="center"/>
            <w:hideMark/>
          </w:tcPr>
          <w:p w14:paraId="1571C171" w14:textId="77777777" w:rsidR="009356D3" w:rsidRPr="00713B6C" w:rsidRDefault="009356D3" w:rsidP="00FD7A5F">
            <w:pPr>
              <w:pStyle w:val="BodyText"/>
              <w:spacing w:before="40" w:after="40"/>
              <w:jc w:val="center"/>
              <w:rPr>
                <w:lang w:val="en-US"/>
              </w:rPr>
            </w:pPr>
            <w:r w:rsidRPr="00713B6C">
              <w:rPr>
                <w:lang w:val="en-GB"/>
              </w:rPr>
              <w:t>30</w:t>
            </w:r>
          </w:p>
        </w:tc>
        <w:tc>
          <w:tcPr>
            <w:tcW w:w="1013" w:type="dxa"/>
            <w:tcBorders>
              <w:bottom w:val="double" w:sz="4" w:space="0" w:color="auto"/>
            </w:tcBorders>
            <w:vAlign w:val="center"/>
            <w:hideMark/>
          </w:tcPr>
          <w:p w14:paraId="4816BC74" w14:textId="77777777" w:rsidR="009356D3" w:rsidRPr="00713B6C" w:rsidRDefault="009356D3" w:rsidP="00FD7A5F">
            <w:pPr>
              <w:pStyle w:val="BodyText"/>
              <w:spacing w:before="40" w:after="40"/>
              <w:jc w:val="center"/>
              <w:rPr>
                <w:lang w:val="en-US"/>
              </w:rPr>
            </w:pPr>
            <w:r w:rsidRPr="00713B6C">
              <w:rPr>
                <w:lang w:val="en-GB"/>
              </w:rPr>
              <w:t>60</w:t>
            </w:r>
          </w:p>
        </w:tc>
        <w:tc>
          <w:tcPr>
            <w:tcW w:w="1013" w:type="dxa"/>
            <w:tcBorders>
              <w:bottom w:val="double" w:sz="4" w:space="0" w:color="auto"/>
            </w:tcBorders>
            <w:vAlign w:val="center"/>
            <w:hideMark/>
          </w:tcPr>
          <w:p w14:paraId="2B489505" w14:textId="77777777" w:rsidR="009356D3" w:rsidRPr="00713B6C" w:rsidRDefault="009356D3" w:rsidP="00FD7A5F">
            <w:pPr>
              <w:pStyle w:val="BodyText"/>
              <w:spacing w:before="40" w:after="40"/>
              <w:jc w:val="center"/>
              <w:rPr>
                <w:lang w:val="en-US"/>
              </w:rPr>
            </w:pPr>
            <w:r w:rsidRPr="00713B6C">
              <w:rPr>
                <w:lang w:val="en-GB"/>
              </w:rPr>
              <w:t>120</w:t>
            </w:r>
          </w:p>
        </w:tc>
        <w:tc>
          <w:tcPr>
            <w:tcW w:w="1013" w:type="dxa"/>
            <w:tcBorders>
              <w:bottom w:val="double" w:sz="4" w:space="0" w:color="auto"/>
            </w:tcBorders>
            <w:vAlign w:val="center"/>
            <w:hideMark/>
          </w:tcPr>
          <w:p w14:paraId="1A89A35B" w14:textId="77777777" w:rsidR="009356D3" w:rsidRPr="00713B6C" w:rsidRDefault="009356D3" w:rsidP="00FD7A5F">
            <w:pPr>
              <w:pStyle w:val="BodyText"/>
              <w:spacing w:before="40" w:after="40"/>
              <w:jc w:val="center"/>
              <w:rPr>
                <w:lang w:val="en-US"/>
              </w:rPr>
            </w:pPr>
            <w:r w:rsidRPr="00713B6C">
              <w:rPr>
                <w:lang w:val="en-US"/>
              </w:rPr>
              <w:t>240</w:t>
            </w:r>
          </w:p>
        </w:tc>
        <w:tc>
          <w:tcPr>
            <w:tcW w:w="1013" w:type="dxa"/>
            <w:tcBorders>
              <w:bottom w:val="double" w:sz="4" w:space="0" w:color="auto"/>
            </w:tcBorders>
            <w:vAlign w:val="center"/>
            <w:hideMark/>
          </w:tcPr>
          <w:p w14:paraId="2D4C98ED" w14:textId="77777777" w:rsidR="009356D3" w:rsidRPr="00713B6C" w:rsidRDefault="009356D3" w:rsidP="00FD7A5F">
            <w:pPr>
              <w:pStyle w:val="BodyText"/>
              <w:spacing w:before="40" w:after="40"/>
              <w:jc w:val="center"/>
              <w:rPr>
                <w:lang w:val="en-US"/>
              </w:rPr>
            </w:pPr>
            <w:r w:rsidRPr="00713B6C">
              <w:rPr>
                <w:lang w:val="en-US"/>
              </w:rPr>
              <w:t>480</w:t>
            </w:r>
          </w:p>
        </w:tc>
        <w:tc>
          <w:tcPr>
            <w:tcW w:w="1013" w:type="dxa"/>
            <w:tcBorders>
              <w:bottom w:val="double" w:sz="4" w:space="0" w:color="auto"/>
            </w:tcBorders>
            <w:vAlign w:val="center"/>
            <w:hideMark/>
          </w:tcPr>
          <w:p w14:paraId="6E937EC8" w14:textId="77777777" w:rsidR="009356D3" w:rsidRPr="00713B6C" w:rsidRDefault="009356D3" w:rsidP="00FD7A5F">
            <w:pPr>
              <w:pStyle w:val="BodyText"/>
              <w:spacing w:before="40" w:after="40"/>
              <w:jc w:val="center"/>
              <w:rPr>
                <w:lang w:val="en-US"/>
              </w:rPr>
            </w:pPr>
            <w:r w:rsidRPr="00713B6C">
              <w:rPr>
                <w:lang w:val="en-US"/>
              </w:rPr>
              <w:t>960</w:t>
            </w:r>
          </w:p>
        </w:tc>
        <w:tc>
          <w:tcPr>
            <w:tcW w:w="1013" w:type="dxa"/>
            <w:tcBorders>
              <w:bottom w:val="double" w:sz="4" w:space="0" w:color="auto"/>
            </w:tcBorders>
            <w:vAlign w:val="center"/>
            <w:hideMark/>
          </w:tcPr>
          <w:p w14:paraId="2B73B1D3" w14:textId="77777777" w:rsidR="009356D3" w:rsidRPr="00713B6C" w:rsidRDefault="009356D3" w:rsidP="00FD7A5F">
            <w:pPr>
              <w:pStyle w:val="BodyText"/>
              <w:spacing w:before="40" w:after="40"/>
              <w:jc w:val="center"/>
              <w:rPr>
                <w:lang w:val="en-US"/>
              </w:rPr>
            </w:pPr>
            <w:r w:rsidRPr="00713B6C">
              <w:rPr>
                <w:lang w:val="en-US"/>
              </w:rPr>
              <w:t>1920</w:t>
            </w:r>
          </w:p>
        </w:tc>
      </w:tr>
      <w:tr w:rsidR="00D943CD" w:rsidRPr="00713B6C" w14:paraId="0B6FC000" w14:textId="77777777" w:rsidTr="00FD7A5F">
        <w:trPr>
          <w:trHeight w:val="52"/>
        </w:trPr>
        <w:tc>
          <w:tcPr>
            <w:tcW w:w="1525" w:type="dxa"/>
            <w:tcBorders>
              <w:top w:val="double" w:sz="4" w:space="0" w:color="auto"/>
              <w:right w:val="double" w:sz="4" w:space="0" w:color="auto"/>
            </w:tcBorders>
            <w:vAlign w:val="center"/>
            <w:hideMark/>
          </w:tcPr>
          <w:p w14:paraId="25E8BA81" w14:textId="36E901CB" w:rsidR="00D943CD" w:rsidRPr="00713B6C" w:rsidRDefault="00D943CD" w:rsidP="00D943CD">
            <w:pPr>
              <w:pStyle w:val="BodyText"/>
              <w:spacing w:before="40" w:after="40"/>
              <w:jc w:val="center"/>
              <w:rPr>
                <w:lang w:val="en-US"/>
              </w:rPr>
            </w:pPr>
            <w:r w:rsidRPr="00713B6C">
              <w:rPr>
                <w:lang w:val="en-US"/>
              </w:rPr>
              <w:t>N</w:t>
            </w:r>
            <w:r w:rsidR="00801451" w:rsidRPr="00801451">
              <w:rPr>
                <w:vertAlign w:val="subscript"/>
                <w:lang w:val="en-US"/>
              </w:rPr>
              <w:t>2</w:t>
            </w:r>
            <w:r w:rsidRPr="00713B6C">
              <w:rPr>
                <w:lang w:val="en-US"/>
              </w:rPr>
              <w:t xml:space="preserve"> [OS]</w:t>
            </w:r>
          </w:p>
        </w:tc>
        <w:tc>
          <w:tcPr>
            <w:tcW w:w="1013" w:type="dxa"/>
            <w:tcBorders>
              <w:top w:val="double" w:sz="4" w:space="0" w:color="auto"/>
              <w:left w:val="double" w:sz="4" w:space="0" w:color="auto"/>
            </w:tcBorders>
            <w:vAlign w:val="center"/>
            <w:hideMark/>
          </w:tcPr>
          <w:p w14:paraId="6C47BC81" w14:textId="490E3D76" w:rsidR="00D943CD" w:rsidRPr="00713B6C" w:rsidRDefault="00D943CD" w:rsidP="00D943CD">
            <w:pPr>
              <w:pStyle w:val="BodyText"/>
              <w:spacing w:before="40" w:after="40"/>
              <w:jc w:val="center"/>
              <w:rPr>
                <w:b/>
                <w:bCs/>
                <w:lang w:val="en-GB"/>
              </w:rPr>
            </w:pPr>
            <w:r w:rsidRPr="0015635F">
              <w:rPr>
                <w:b/>
                <w:bCs/>
                <w:lang w:val="en-GB"/>
              </w:rPr>
              <w:t>10</w:t>
            </w:r>
          </w:p>
        </w:tc>
        <w:tc>
          <w:tcPr>
            <w:tcW w:w="1013" w:type="dxa"/>
            <w:tcBorders>
              <w:top w:val="double" w:sz="4" w:space="0" w:color="auto"/>
            </w:tcBorders>
            <w:vAlign w:val="center"/>
            <w:hideMark/>
          </w:tcPr>
          <w:p w14:paraId="1717924F" w14:textId="62B41B3F" w:rsidR="00D943CD" w:rsidRPr="00713B6C" w:rsidRDefault="00D943CD" w:rsidP="00D943CD">
            <w:pPr>
              <w:pStyle w:val="BodyText"/>
              <w:spacing w:before="40" w:after="40"/>
              <w:jc w:val="center"/>
              <w:rPr>
                <w:b/>
                <w:bCs/>
                <w:lang w:val="en-GB"/>
              </w:rPr>
            </w:pPr>
            <w:r w:rsidRPr="0015635F">
              <w:rPr>
                <w:b/>
                <w:bCs/>
                <w:lang w:val="en-GB"/>
              </w:rPr>
              <w:t>12</w:t>
            </w:r>
          </w:p>
        </w:tc>
        <w:tc>
          <w:tcPr>
            <w:tcW w:w="1013" w:type="dxa"/>
            <w:tcBorders>
              <w:top w:val="double" w:sz="4" w:space="0" w:color="auto"/>
            </w:tcBorders>
            <w:vAlign w:val="center"/>
            <w:hideMark/>
          </w:tcPr>
          <w:p w14:paraId="7E549479" w14:textId="62025349" w:rsidR="00D943CD" w:rsidRPr="00713B6C" w:rsidRDefault="00D943CD" w:rsidP="00D943CD">
            <w:pPr>
              <w:pStyle w:val="BodyText"/>
              <w:spacing w:before="40" w:after="40"/>
              <w:jc w:val="center"/>
              <w:rPr>
                <w:b/>
                <w:bCs/>
                <w:lang w:val="en-GB"/>
              </w:rPr>
            </w:pPr>
            <w:r w:rsidRPr="0015635F">
              <w:rPr>
                <w:b/>
                <w:bCs/>
                <w:lang w:val="en-GB"/>
              </w:rPr>
              <w:t>23</w:t>
            </w:r>
          </w:p>
        </w:tc>
        <w:tc>
          <w:tcPr>
            <w:tcW w:w="1013" w:type="dxa"/>
            <w:tcBorders>
              <w:top w:val="double" w:sz="4" w:space="0" w:color="auto"/>
            </w:tcBorders>
            <w:vAlign w:val="center"/>
            <w:hideMark/>
          </w:tcPr>
          <w:p w14:paraId="0DD0D381" w14:textId="16A67C20" w:rsidR="00D943CD" w:rsidRPr="00713B6C" w:rsidRDefault="00D943CD" w:rsidP="00D943CD">
            <w:pPr>
              <w:pStyle w:val="BodyText"/>
              <w:spacing w:before="40" w:after="40"/>
              <w:jc w:val="center"/>
              <w:rPr>
                <w:b/>
                <w:bCs/>
                <w:lang w:val="en-GB"/>
              </w:rPr>
            </w:pPr>
            <w:r w:rsidRPr="0015635F">
              <w:rPr>
                <w:b/>
                <w:bCs/>
                <w:lang w:val="en-GB"/>
              </w:rPr>
              <w:t>36</w:t>
            </w:r>
          </w:p>
        </w:tc>
        <w:tc>
          <w:tcPr>
            <w:tcW w:w="1013" w:type="dxa"/>
            <w:tcBorders>
              <w:top w:val="double" w:sz="4" w:space="0" w:color="auto"/>
            </w:tcBorders>
            <w:vAlign w:val="center"/>
            <w:hideMark/>
          </w:tcPr>
          <w:p w14:paraId="1F4EC4EC"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2BE54908"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162F93B2"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3A41DAB2" w14:textId="77777777" w:rsidR="00D943CD" w:rsidRPr="00713B6C" w:rsidRDefault="00D943CD" w:rsidP="00D943CD">
            <w:pPr>
              <w:pStyle w:val="BodyText"/>
              <w:spacing w:before="40" w:after="40"/>
              <w:jc w:val="center"/>
              <w:rPr>
                <w:lang w:val="en-GB"/>
              </w:rPr>
            </w:pPr>
          </w:p>
        </w:tc>
      </w:tr>
      <w:tr w:rsidR="00D943CD" w:rsidRPr="00713B6C" w14:paraId="308B7F91" w14:textId="77777777" w:rsidTr="00FD7A5F">
        <w:trPr>
          <w:trHeight w:val="52"/>
        </w:trPr>
        <w:tc>
          <w:tcPr>
            <w:tcW w:w="1525" w:type="dxa"/>
            <w:tcBorders>
              <w:right w:val="double" w:sz="4" w:space="0" w:color="auto"/>
            </w:tcBorders>
            <w:vAlign w:val="center"/>
            <w:hideMark/>
          </w:tcPr>
          <w:p w14:paraId="5925719A" w14:textId="77777777" w:rsidR="00D943CD" w:rsidRPr="00713B6C" w:rsidRDefault="00D943CD" w:rsidP="00D943CD">
            <w:pPr>
              <w:pStyle w:val="BodyText"/>
              <w:spacing w:before="40" w:after="40"/>
              <w:jc w:val="center"/>
              <w:rPr>
                <w:lang w:val="en-US"/>
              </w:rPr>
            </w:pPr>
            <w:r w:rsidRPr="00713B6C">
              <w:rPr>
                <w:lang w:val="en-US"/>
              </w:rPr>
              <w:t>Estimate [OS]</w:t>
            </w:r>
          </w:p>
        </w:tc>
        <w:tc>
          <w:tcPr>
            <w:tcW w:w="1013" w:type="dxa"/>
            <w:tcBorders>
              <w:left w:val="double" w:sz="4" w:space="0" w:color="auto"/>
            </w:tcBorders>
            <w:vAlign w:val="bottom"/>
            <w:hideMark/>
          </w:tcPr>
          <w:p w14:paraId="0C84043B" w14:textId="42355756" w:rsidR="00D943CD" w:rsidRPr="00713B6C" w:rsidRDefault="00D943CD" w:rsidP="00D943CD">
            <w:pPr>
              <w:pStyle w:val="BodyText"/>
              <w:spacing w:before="40" w:after="40"/>
              <w:jc w:val="center"/>
              <w:rPr>
                <w:lang w:val="en-GB"/>
              </w:rPr>
            </w:pPr>
            <w:r w:rsidRPr="00D943CD">
              <w:rPr>
                <w:lang w:val="en-GB"/>
              </w:rPr>
              <w:t>9</w:t>
            </w:r>
          </w:p>
        </w:tc>
        <w:tc>
          <w:tcPr>
            <w:tcW w:w="1013" w:type="dxa"/>
            <w:vAlign w:val="bottom"/>
            <w:hideMark/>
          </w:tcPr>
          <w:p w14:paraId="3FA2F266" w14:textId="0E00D35F" w:rsidR="00D943CD" w:rsidRPr="00713B6C" w:rsidRDefault="00D943CD" w:rsidP="00D943CD">
            <w:pPr>
              <w:pStyle w:val="BodyText"/>
              <w:spacing w:before="40" w:after="40"/>
              <w:jc w:val="center"/>
              <w:rPr>
                <w:lang w:val="en-GB"/>
              </w:rPr>
            </w:pPr>
            <w:r w:rsidRPr="00D943CD">
              <w:rPr>
                <w:lang w:val="en-GB"/>
              </w:rPr>
              <w:t>14</w:t>
            </w:r>
          </w:p>
        </w:tc>
        <w:tc>
          <w:tcPr>
            <w:tcW w:w="1013" w:type="dxa"/>
            <w:vAlign w:val="bottom"/>
            <w:hideMark/>
          </w:tcPr>
          <w:p w14:paraId="6939F7E9" w14:textId="79A607CE" w:rsidR="00D943CD" w:rsidRPr="00713B6C" w:rsidRDefault="00D943CD" w:rsidP="00D943CD">
            <w:pPr>
              <w:pStyle w:val="BodyText"/>
              <w:spacing w:before="40" w:after="40"/>
              <w:jc w:val="center"/>
              <w:rPr>
                <w:lang w:val="en-GB"/>
              </w:rPr>
            </w:pPr>
            <w:r w:rsidRPr="00D943CD">
              <w:rPr>
                <w:lang w:val="en-GB"/>
              </w:rPr>
              <w:t>23</w:t>
            </w:r>
          </w:p>
        </w:tc>
        <w:tc>
          <w:tcPr>
            <w:tcW w:w="1013" w:type="dxa"/>
            <w:vAlign w:val="bottom"/>
            <w:hideMark/>
          </w:tcPr>
          <w:p w14:paraId="6FE8A312" w14:textId="4B7F6050" w:rsidR="00D943CD" w:rsidRPr="00713B6C" w:rsidRDefault="00D943CD" w:rsidP="00D943CD">
            <w:pPr>
              <w:pStyle w:val="BodyText"/>
              <w:spacing w:before="40" w:after="40"/>
              <w:jc w:val="center"/>
              <w:rPr>
                <w:lang w:val="en-GB"/>
              </w:rPr>
            </w:pPr>
            <w:r w:rsidRPr="00D943CD">
              <w:rPr>
                <w:lang w:val="en-GB"/>
              </w:rPr>
              <w:t>36</w:t>
            </w:r>
          </w:p>
        </w:tc>
        <w:tc>
          <w:tcPr>
            <w:tcW w:w="1013" w:type="dxa"/>
            <w:vAlign w:val="bottom"/>
            <w:hideMark/>
          </w:tcPr>
          <w:p w14:paraId="4AC4EC4A" w14:textId="135D1349" w:rsidR="00D943CD" w:rsidRPr="00713B6C" w:rsidRDefault="00D943CD" w:rsidP="00D943CD">
            <w:pPr>
              <w:pStyle w:val="BodyText"/>
              <w:spacing w:before="40" w:after="40"/>
              <w:jc w:val="center"/>
              <w:rPr>
                <w:lang w:val="en-GB"/>
              </w:rPr>
            </w:pPr>
            <w:r w:rsidRPr="00D943CD">
              <w:rPr>
                <w:lang w:val="en-GB"/>
              </w:rPr>
              <w:t>57</w:t>
            </w:r>
          </w:p>
        </w:tc>
        <w:tc>
          <w:tcPr>
            <w:tcW w:w="1013" w:type="dxa"/>
            <w:vAlign w:val="bottom"/>
            <w:hideMark/>
          </w:tcPr>
          <w:p w14:paraId="7FA9AB5F" w14:textId="0B783CEF" w:rsidR="00D943CD" w:rsidRPr="00713B6C" w:rsidRDefault="00D943CD" w:rsidP="00D943CD">
            <w:pPr>
              <w:pStyle w:val="BodyText"/>
              <w:spacing w:before="40" w:after="40"/>
              <w:jc w:val="center"/>
              <w:rPr>
                <w:lang w:val="en-GB"/>
              </w:rPr>
            </w:pPr>
            <w:r w:rsidRPr="00D943CD">
              <w:rPr>
                <w:lang w:val="en-GB"/>
              </w:rPr>
              <w:t>91</w:t>
            </w:r>
          </w:p>
        </w:tc>
        <w:tc>
          <w:tcPr>
            <w:tcW w:w="1013" w:type="dxa"/>
            <w:vAlign w:val="bottom"/>
            <w:hideMark/>
          </w:tcPr>
          <w:p w14:paraId="2B204935" w14:textId="3BA9CD20" w:rsidR="00D943CD" w:rsidRPr="00713B6C" w:rsidRDefault="00D943CD" w:rsidP="00D943CD">
            <w:pPr>
              <w:pStyle w:val="BodyText"/>
              <w:spacing w:before="40" w:after="40"/>
              <w:jc w:val="center"/>
              <w:rPr>
                <w:lang w:val="en-GB"/>
              </w:rPr>
            </w:pPr>
            <w:r w:rsidRPr="00D943CD">
              <w:rPr>
                <w:lang w:val="en-GB"/>
              </w:rPr>
              <w:t>144</w:t>
            </w:r>
          </w:p>
        </w:tc>
        <w:tc>
          <w:tcPr>
            <w:tcW w:w="1013" w:type="dxa"/>
            <w:vAlign w:val="bottom"/>
            <w:hideMark/>
          </w:tcPr>
          <w:p w14:paraId="10A54D19" w14:textId="3499E4F5" w:rsidR="00D943CD" w:rsidRPr="00713B6C" w:rsidRDefault="00D943CD" w:rsidP="00D943CD">
            <w:pPr>
              <w:pStyle w:val="BodyText"/>
              <w:spacing w:before="40" w:after="40"/>
              <w:jc w:val="center"/>
              <w:rPr>
                <w:lang w:val="en-GB"/>
              </w:rPr>
            </w:pPr>
            <w:r w:rsidRPr="00D943CD">
              <w:rPr>
                <w:lang w:val="en-GB"/>
              </w:rPr>
              <w:t>229</w:t>
            </w:r>
          </w:p>
        </w:tc>
      </w:tr>
      <w:tr w:rsidR="00D943CD" w:rsidRPr="009A1793" w14:paraId="09174149" w14:textId="77777777" w:rsidTr="00FD7A5F">
        <w:trPr>
          <w:trHeight w:val="52"/>
        </w:trPr>
        <w:tc>
          <w:tcPr>
            <w:tcW w:w="1525" w:type="dxa"/>
            <w:tcBorders>
              <w:right w:val="double" w:sz="4" w:space="0" w:color="auto"/>
            </w:tcBorders>
            <w:vAlign w:val="center"/>
            <w:hideMark/>
          </w:tcPr>
          <w:p w14:paraId="72A99C17" w14:textId="77777777" w:rsidR="00D943CD" w:rsidRPr="009A1793" w:rsidRDefault="00D943CD" w:rsidP="00D943CD">
            <w:pPr>
              <w:pStyle w:val="BodyText"/>
              <w:spacing w:before="40" w:after="40"/>
              <w:jc w:val="center"/>
            </w:pPr>
            <w:r w:rsidRPr="009A1793">
              <w:t>Estimate [</w:t>
            </w:r>
            <w:r w:rsidRPr="009A1793">
              <w:rPr>
                <w:lang w:val="el-GR"/>
              </w:rPr>
              <w:t>μ</w:t>
            </w:r>
            <w:r w:rsidRPr="009A1793">
              <w:t>s]</w:t>
            </w:r>
          </w:p>
        </w:tc>
        <w:tc>
          <w:tcPr>
            <w:tcW w:w="1013" w:type="dxa"/>
            <w:tcBorders>
              <w:left w:val="double" w:sz="4" w:space="0" w:color="auto"/>
            </w:tcBorders>
            <w:vAlign w:val="bottom"/>
            <w:hideMark/>
          </w:tcPr>
          <w:p w14:paraId="6FD603F5" w14:textId="5D888635" w:rsidR="00D943CD" w:rsidRPr="009A1793" w:rsidRDefault="00D943CD" w:rsidP="00D943CD">
            <w:pPr>
              <w:pStyle w:val="BodyText"/>
              <w:spacing w:before="40" w:after="40"/>
              <w:jc w:val="center"/>
              <w:rPr>
                <w:lang w:val="en-GB"/>
              </w:rPr>
            </w:pPr>
            <w:r w:rsidRPr="00D943CD">
              <w:rPr>
                <w:lang w:val="en-GB"/>
              </w:rPr>
              <w:t>643</w:t>
            </w:r>
          </w:p>
        </w:tc>
        <w:tc>
          <w:tcPr>
            <w:tcW w:w="1013" w:type="dxa"/>
            <w:vAlign w:val="bottom"/>
            <w:hideMark/>
          </w:tcPr>
          <w:p w14:paraId="0062B389" w14:textId="40EFF093" w:rsidR="00D943CD" w:rsidRPr="009A1793" w:rsidRDefault="00D943CD" w:rsidP="00D943CD">
            <w:pPr>
              <w:pStyle w:val="BodyText"/>
              <w:spacing w:before="40" w:after="40"/>
              <w:jc w:val="center"/>
              <w:rPr>
                <w:lang w:val="en-GB"/>
              </w:rPr>
            </w:pPr>
            <w:r w:rsidRPr="00D943CD">
              <w:rPr>
                <w:lang w:val="en-GB"/>
              </w:rPr>
              <w:t>510</w:t>
            </w:r>
          </w:p>
        </w:tc>
        <w:tc>
          <w:tcPr>
            <w:tcW w:w="1013" w:type="dxa"/>
            <w:vAlign w:val="bottom"/>
            <w:hideMark/>
          </w:tcPr>
          <w:p w14:paraId="658E470A" w14:textId="5550C278" w:rsidR="00D943CD" w:rsidRPr="009A1793" w:rsidRDefault="00D943CD" w:rsidP="00D943CD">
            <w:pPr>
              <w:pStyle w:val="BodyText"/>
              <w:spacing w:before="40" w:after="40"/>
              <w:jc w:val="center"/>
              <w:rPr>
                <w:lang w:val="en-GB"/>
              </w:rPr>
            </w:pPr>
            <w:r w:rsidRPr="00D943CD">
              <w:rPr>
                <w:lang w:val="en-GB"/>
              </w:rPr>
              <w:t>405</w:t>
            </w:r>
          </w:p>
        </w:tc>
        <w:tc>
          <w:tcPr>
            <w:tcW w:w="1013" w:type="dxa"/>
            <w:vAlign w:val="bottom"/>
            <w:hideMark/>
          </w:tcPr>
          <w:p w14:paraId="1E483449" w14:textId="64E14C5A" w:rsidR="00D943CD" w:rsidRPr="009A1793" w:rsidRDefault="00D943CD" w:rsidP="00D943CD">
            <w:pPr>
              <w:pStyle w:val="BodyText"/>
              <w:spacing w:before="40" w:after="40"/>
              <w:jc w:val="center"/>
              <w:rPr>
                <w:lang w:val="en-GB"/>
              </w:rPr>
            </w:pPr>
            <w:r w:rsidRPr="00D943CD">
              <w:rPr>
                <w:lang w:val="en-GB"/>
              </w:rPr>
              <w:t>321</w:t>
            </w:r>
          </w:p>
        </w:tc>
        <w:tc>
          <w:tcPr>
            <w:tcW w:w="1013" w:type="dxa"/>
            <w:vAlign w:val="bottom"/>
            <w:hideMark/>
          </w:tcPr>
          <w:p w14:paraId="530A9ABA" w14:textId="1F680A8A" w:rsidR="00D943CD" w:rsidRPr="009A1793" w:rsidRDefault="00D943CD" w:rsidP="00D943CD">
            <w:pPr>
              <w:pStyle w:val="BodyText"/>
              <w:spacing w:before="40" w:after="40"/>
              <w:jc w:val="center"/>
              <w:rPr>
                <w:lang w:val="en-GB"/>
              </w:rPr>
            </w:pPr>
            <w:r w:rsidRPr="00D943CD">
              <w:rPr>
                <w:lang w:val="en-GB"/>
              </w:rPr>
              <w:t>255</w:t>
            </w:r>
          </w:p>
        </w:tc>
        <w:tc>
          <w:tcPr>
            <w:tcW w:w="1013" w:type="dxa"/>
            <w:vAlign w:val="bottom"/>
            <w:hideMark/>
          </w:tcPr>
          <w:p w14:paraId="58DEB2FA" w14:textId="5CE3D97E" w:rsidR="00D943CD" w:rsidRPr="009A1793" w:rsidRDefault="00D943CD" w:rsidP="00D943CD">
            <w:pPr>
              <w:pStyle w:val="BodyText"/>
              <w:spacing w:before="40" w:after="40"/>
              <w:jc w:val="center"/>
              <w:rPr>
                <w:lang w:val="en-GB"/>
              </w:rPr>
            </w:pPr>
            <w:r w:rsidRPr="00D943CD">
              <w:rPr>
                <w:lang w:val="en-GB"/>
              </w:rPr>
              <w:t>202</w:t>
            </w:r>
          </w:p>
        </w:tc>
        <w:tc>
          <w:tcPr>
            <w:tcW w:w="1013" w:type="dxa"/>
            <w:vAlign w:val="bottom"/>
            <w:hideMark/>
          </w:tcPr>
          <w:p w14:paraId="7284FFC0" w14:textId="39EC18AC" w:rsidR="00D943CD" w:rsidRPr="009A1793" w:rsidRDefault="00D943CD" w:rsidP="00D943CD">
            <w:pPr>
              <w:pStyle w:val="BodyText"/>
              <w:spacing w:before="40" w:after="40"/>
              <w:jc w:val="center"/>
              <w:rPr>
                <w:lang w:val="en-GB"/>
              </w:rPr>
            </w:pPr>
            <w:r w:rsidRPr="00D943CD">
              <w:rPr>
                <w:lang w:val="en-GB"/>
              </w:rPr>
              <w:t>161</w:t>
            </w:r>
          </w:p>
        </w:tc>
        <w:tc>
          <w:tcPr>
            <w:tcW w:w="1013" w:type="dxa"/>
            <w:vAlign w:val="bottom"/>
            <w:hideMark/>
          </w:tcPr>
          <w:p w14:paraId="73546E45" w14:textId="620F8FCF" w:rsidR="00D943CD" w:rsidRPr="009A1793" w:rsidRDefault="00D943CD" w:rsidP="00D943CD">
            <w:pPr>
              <w:pStyle w:val="BodyText"/>
              <w:spacing w:before="40" w:after="40"/>
              <w:jc w:val="center"/>
              <w:rPr>
                <w:lang w:val="en-GB"/>
              </w:rPr>
            </w:pPr>
            <w:r w:rsidRPr="00D943CD">
              <w:rPr>
                <w:lang w:val="en-GB"/>
              </w:rPr>
              <w:t>128</w:t>
            </w:r>
          </w:p>
        </w:tc>
      </w:tr>
    </w:tbl>
    <w:p w14:paraId="5B829120" w14:textId="77777777" w:rsidR="00607C93" w:rsidRDefault="00607C93" w:rsidP="00296180">
      <w:pPr>
        <w:pStyle w:val="BodyText"/>
      </w:pPr>
    </w:p>
    <w:p w14:paraId="530B90BB" w14:textId="103D4148" w:rsidR="00470368" w:rsidRDefault="00345569" w:rsidP="008A2C71">
      <w:pPr>
        <w:pStyle w:val="BodyText"/>
      </w:pPr>
      <w:r>
        <w:t xml:space="preserve">These processing latencies, in terms of number of symbols/slots, </w:t>
      </w:r>
      <w:r w:rsidR="00C30AC7">
        <w:t xml:space="preserve">for the large SCSs </w:t>
      </w:r>
      <w:r>
        <w:t>far exceed those in Rel-15, whose low latencies guide the hardware and software implementations of the gNBs and UEs.</w:t>
      </w:r>
      <w:r w:rsidR="00EE100B">
        <w:t xml:space="preserve"> </w:t>
      </w:r>
      <w:r>
        <w:t xml:space="preserve">Furthermore, comparing the system design and implementation differences between LTE-LAA and NR-U, it becomes rather clear that the low NR latencies in HARQ feedback and PUSCH scheduling present significant advantages in the unlicensed band operations. </w:t>
      </w:r>
      <w:r w:rsidR="00D20BC5">
        <w:t xml:space="preserve">One of the main advantages of operating in 60GHz spectrum is the large bandwidth that can be utilized. </w:t>
      </w:r>
      <w:r w:rsidR="00FC2C65">
        <w:t>However</w:t>
      </w:r>
      <w:r w:rsidR="00D20BC5">
        <w:t xml:space="preserve">, with the very limited number of HARQ processes and large processing delays, the system performance can be quite restricted. </w:t>
      </w:r>
      <w:r w:rsidR="008A2C71">
        <w:t>To deal with such large increase in processing latencies,</w:t>
      </w:r>
      <w:r w:rsidR="00EE100B">
        <w:t xml:space="preserve"> </w:t>
      </w:r>
      <w:r w:rsidR="008A2C71">
        <w:t xml:space="preserve">parts of the software and hardware implementations need to be revisited or even replaced. </w:t>
      </w:r>
    </w:p>
    <w:p w14:paraId="382E08D8" w14:textId="77777777" w:rsidR="00470368" w:rsidRDefault="00470368" w:rsidP="008A2C71">
      <w:pPr>
        <w:pStyle w:val="BodyText"/>
      </w:pPr>
    </w:p>
    <w:p w14:paraId="6405D24D" w14:textId="74A1FE36" w:rsidR="00F612D8" w:rsidRDefault="000462A6" w:rsidP="00F612D8">
      <w:pPr>
        <w:pStyle w:val="Observation"/>
      </w:pPr>
      <w:bookmarkStart w:id="131" w:name="_Toc47712027"/>
      <w:r>
        <w:t>The</w:t>
      </w:r>
      <w:r w:rsidR="00F750DF" w:rsidDel="000462A6">
        <w:t xml:space="preserve"> </w:t>
      </w:r>
      <w:r w:rsidR="00F750DF">
        <w:t xml:space="preserve">times provisioned for UE processing </w:t>
      </w:r>
      <w:r w:rsidR="00F750DF" w:rsidRPr="0035235B">
        <w:t>grow exponentially</w:t>
      </w:r>
      <w:r w:rsidR="00F750DF">
        <w:t xml:space="preserve"> with the numerology</w:t>
      </w:r>
      <w:r w:rsidR="00F612D8">
        <w:t>.</w:t>
      </w:r>
      <w:r w:rsidR="00F750DF">
        <w:t xml:space="preserve"> </w:t>
      </w:r>
      <w:r w:rsidR="0016638C">
        <w:t xml:space="preserve">Large processing latencies </w:t>
      </w:r>
      <w:r w:rsidR="00163DD8">
        <w:t>restrict</w:t>
      </w:r>
      <w:r w:rsidR="00ED0C2D">
        <w:t xml:space="preserve"> the achievable throughputs</w:t>
      </w:r>
      <w:r w:rsidR="001650DE">
        <w:t xml:space="preserve">, defeating the purpose of enabling </w:t>
      </w:r>
      <w:r w:rsidR="0086606E">
        <w:t xml:space="preserve">large bandwidths </w:t>
      </w:r>
      <w:r w:rsidR="00872FD7">
        <w:t xml:space="preserve">with </w:t>
      </w:r>
      <w:r w:rsidR="00232451">
        <w:t xml:space="preserve">large </w:t>
      </w:r>
      <w:r w:rsidR="007D6551">
        <w:t>sub-carrier spacing</w:t>
      </w:r>
      <w:r w:rsidR="00974F7C">
        <w:t>s</w:t>
      </w:r>
      <w:r w:rsidR="007D6551">
        <w:t>.</w:t>
      </w:r>
      <w:bookmarkEnd w:id="131"/>
    </w:p>
    <w:p w14:paraId="59F6F4D2" w14:textId="3DE5CC91" w:rsidR="00293E61" w:rsidRDefault="00293E61" w:rsidP="008A2C71">
      <w:pPr>
        <w:pStyle w:val="BodyText"/>
      </w:pPr>
    </w:p>
    <w:p w14:paraId="68FCB28B" w14:textId="4EF0E504" w:rsidR="00E274AC" w:rsidRDefault="006946FA" w:rsidP="008A2C71">
      <w:pPr>
        <w:pStyle w:val="BodyText"/>
      </w:pPr>
      <w:r>
        <w:t>In the 3GPP numerology, an RB expands in the frequency domain in the same proportion as i</w:t>
      </w:r>
      <w:r w:rsidR="00DF1C4A">
        <w:t xml:space="preserve">t shrinks in the time domain. As a result, </w:t>
      </w:r>
      <w:r w:rsidR="0029652D">
        <w:t xml:space="preserve">given the same number of </w:t>
      </w:r>
      <w:r w:rsidR="009C3DC2">
        <w:t xml:space="preserve">RBs in a serving cell, </w:t>
      </w:r>
      <w:r w:rsidR="00E63B57">
        <w:t xml:space="preserve">the sizes of MAC layer buffering </w:t>
      </w:r>
      <w:r w:rsidR="004031AE">
        <w:t>(more specifically soft buffer)</w:t>
      </w:r>
      <w:r w:rsidR="00E63B57">
        <w:t xml:space="preserve"> </w:t>
      </w:r>
      <w:r w:rsidR="00476424">
        <w:t xml:space="preserve">can be kept constant if </w:t>
      </w:r>
      <w:r w:rsidR="0003182A">
        <w:t xml:space="preserve">the </w:t>
      </w:r>
      <w:r w:rsidR="00A45801">
        <w:t>protocol loop</w:t>
      </w:r>
      <w:r w:rsidR="00172C96">
        <w:t>s</w:t>
      </w:r>
      <w:r w:rsidR="0003182A">
        <w:t xml:space="preserve"> </w:t>
      </w:r>
      <w:r w:rsidR="008535FB">
        <w:t xml:space="preserve">in terms of slots </w:t>
      </w:r>
      <w:r w:rsidR="00F45F2F">
        <w:t xml:space="preserve">can be kept constant. However, as discuss in the above, </w:t>
      </w:r>
      <w:r w:rsidR="0006448C">
        <w:t xml:space="preserve">UE processing latency is expected to grow exponentially with </w:t>
      </w:r>
      <w:r w:rsidR="00140CB2">
        <w:t>the numerology</w:t>
      </w:r>
      <w:r w:rsidR="00317A7C">
        <w:t>. Consequently, a large s</w:t>
      </w:r>
      <w:r w:rsidR="002A0F95">
        <w:t xml:space="preserve">ub-carrier spacing will lead to </w:t>
      </w:r>
      <w:r w:rsidR="00ED7051">
        <w:t>larger MAC layer buffer</w:t>
      </w:r>
      <w:r w:rsidR="001554E4">
        <w:t>ing</w:t>
      </w:r>
      <w:r w:rsidR="00ED7051">
        <w:t xml:space="preserve"> requirements</w:t>
      </w:r>
      <w:r w:rsidR="001554E4">
        <w:t xml:space="preserve">, which will negatively impact </w:t>
      </w:r>
      <w:r w:rsidR="00ED7051">
        <w:t>UE implementation</w:t>
      </w:r>
      <w:r w:rsidR="001554E4">
        <w:t xml:space="preserve"> costs</w:t>
      </w:r>
      <w:r w:rsidR="00ED7051">
        <w:t>.</w:t>
      </w:r>
    </w:p>
    <w:p w14:paraId="66B35031" w14:textId="77777777" w:rsidR="000D265E" w:rsidRDefault="000D265E" w:rsidP="008A2C71">
      <w:pPr>
        <w:pStyle w:val="BodyText"/>
      </w:pPr>
    </w:p>
    <w:p w14:paraId="30755E82" w14:textId="0A8EB8C0" w:rsidR="000D265E" w:rsidRDefault="001A0873" w:rsidP="000D265E">
      <w:pPr>
        <w:pStyle w:val="Observation"/>
      </w:pPr>
      <w:bookmarkStart w:id="132" w:name="_Toc47712028"/>
      <w:r>
        <w:t>Very l</w:t>
      </w:r>
      <w:r w:rsidR="000D265E">
        <w:t xml:space="preserve">arger sub-carrier spacing </w:t>
      </w:r>
      <w:r w:rsidR="003A18CE">
        <w:t xml:space="preserve">will induce </w:t>
      </w:r>
      <w:r>
        <w:t xml:space="preserve">excessive </w:t>
      </w:r>
      <w:r w:rsidR="00B924D9">
        <w:t>MAC buffer</w:t>
      </w:r>
      <w:r w:rsidR="006A0F83">
        <w:t>ing</w:t>
      </w:r>
      <w:r w:rsidR="00B924D9">
        <w:t xml:space="preserve"> requirements and</w:t>
      </w:r>
      <w:r w:rsidR="0056516A">
        <w:t xml:space="preserve"> causes higher</w:t>
      </w:r>
      <w:r w:rsidR="00B924D9">
        <w:t xml:space="preserve"> UE implementation</w:t>
      </w:r>
      <w:r w:rsidR="0056516A">
        <w:t xml:space="preserve"> costs</w:t>
      </w:r>
      <w:r w:rsidR="000D265E">
        <w:t>.</w:t>
      </w:r>
      <w:bookmarkEnd w:id="132"/>
    </w:p>
    <w:p w14:paraId="4585242D" w14:textId="77777777" w:rsidR="00E274AC" w:rsidRDefault="00E274AC" w:rsidP="008A2C71">
      <w:pPr>
        <w:pStyle w:val="BodyText"/>
      </w:pPr>
    </w:p>
    <w:p w14:paraId="20F310E0" w14:textId="23A1567E" w:rsidR="008A2C71" w:rsidRPr="00BB4701" w:rsidRDefault="008A2C71" w:rsidP="008A2C71">
      <w:pPr>
        <w:pStyle w:val="BodyText"/>
      </w:pPr>
      <w:r>
        <w:t xml:space="preserve">Consider further the UE PDCCH processing capabilities specified in Section 10.1 of </w:t>
      </w:r>
      <w:r>
        <w:fldChar w:fldCharType="begin"/>
      </w:r>
      <w:r>
        <w:instrText xml:space="preserve"> REF _Ref39589635 \r \h </w:instrText>
      </w:r>
      <w:r>
        <w:fldChar w:fldCharType="separate"/>
      </w:r>
      <w:r w:rsidR="00CF206F">
        <w:t>[11]</w:t>
      </w:r>
      <w:r>
        <w:fldChar w:fldCharType="end"/>
      </w:r>
      <w:r>
        <w:t xml:space="preserve"> in terms of number of blind decodes in Table 10.1-2 and number of CCEs in Table 10.1-3. For both sets of PDCCH processing capabilities, the quantities </w:t>
      </w:r>
      <w:r w:rsidRPr="00085F74">
        <w:rPr>
          <w:u w:val="single"/>
        </w:rPr>
        <w:t xml:space="preserve">shrink </w:t>
      </w:r>
      <w:r w:rsidRPr="00FC21A3">
        <w:rPr>
          <w:u w:val="single"/>
        </w:rPr>
        <w:t>exponentially</w:t>
      </w:r>
      <w:r>
        <w:t xml:space="preserve"> with the numerologies. Extrapolating from these numbers, </w:t>
      </w:r>
      <w:r w:rsidRPr="00B73F5F">
        <w:rPr>
          <w:b/>
        </w:rPr>
        <w:t xml:space="preserve">there are then doubts on whether the UE operating with a SCS </w:t>
      </w:r>
      <w:r w:rsidR="00AD17EB" w:rsidRPr="00B73F5F">
        <w:rPr>
          <w:b/>
          <w:bCs/>
        </w:rPr>
        <w:t>such as</w:t>
      </w:r>
      <w:r w:rsidRPr="00B73F5F">
        <w:rPr>
          <w:b/>
        </w:rPr>
        <w:t xml:space="preserve"> 960 kHz SCS can support even one AL-16 PDCCH or the default number of candidates for monitoring the Type0A-PDCCH CSS</w:t>
      </w:r>
      <w:r>
        <w:t xml:space="preserve"> specified in Table 10.1-1.</w:t>
      </w:r>
    </w:p>
    <w:p w14:paraId="27DB3200" w14:textId="77777777" w:rsidR="008A2C71" w:rsidRPr="00B916EC" w:rsidRDefault="3350CE7D" w:rsidP="008A2C71">
      <w:pPr>
        <w:pStyle w:val="TH"/>
      </w:pPr>
      <w:r>
        <w:lastRenderedPageBreak/>
        <w:t>Table 10.1-2</w:t>
      </w:r>
      <w:r w:rsidRPr="00B916EC">
        <w:t xml:space="preserve">: </w:t>
      </w:r>
      <w:r>
        <w:t xml:space="preserve">Maximum number </w:t>
      </w:r>
      <w:r w:rsidR="008A2C71">
        <w:rPr>
          <w:noProof/>
          <w:position w:val="-10"/>
        </w:rPr>
        <w:drawing>
          <wp:inline distT="0" distB="0" distL="0" distR="0" wp14:anchorId="0B4FF287" wp14:editId="1517D620">
            <wp:extent cx="552450" cy="241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2450" cy="241300"/>
                    </a:xfrm>
                    <a:prstGeom prst="rect">
                      <a:avLst/>
                    </a:prstGeom>
                    <a:noFill/>
                    <a:ln>
                      <a:noFill/>
                    </a:ln>
                  </pic:spPr>
                </pic:pic>
              </a:graphicData>
            </a:graphic>
          </wp:inline>
        </w:drawing>
      </w:r>
      <w:r>
        <w:t xml:space="preserve"> of monitored PDCCH candidates per slot for a DL BWP with SCS configuration </w:t>
      </w:r>
      <w:r w:rsidR="008A2C71">
        <w:rPr>
          <w:noProof/>
          <w:position w:val="-10"/>
        </w:rPr>
        <w:drawing>
          <wp:inline distT="0" distB="0" distL="0" distR="0" wp14:anchorId="4E7E3C20" wp14:editId="5BD581CC">
            <wp:extent cx="736600" cy="1841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8A2C71" w:rsidRPr="00B916EC" w14:paraId="3062D2BC" w14:textId="77777777" w:rsidTr="470F980A">
        <w:trPr>
          <w:cantSplit/>
          <w:jc w:val="center"/>
        </w:trPr>
        <w:tc>
          <w:tcPr>
            <w:tcW w:w="1465" w:type="dxa"/>
            <w:shd w:val="clear" w:color="auto" w:fill="E0E0E0"/>
            <w:vAlign w:val="center"/>
          </w:tcPr>
          <w:p w14:paraId="1F19EE90"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28E157B6" wp14:editId="67EEAA78">
                  <wp:extent cx="184150" cy="18415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00" w:type="dxa"/>
            <w:shd w:val="clear" w:color="auto" w:fill="E0E0E0"/>
            <w:vAlign w:val="center"/>
          </w:tcPr>
          <w:p w14:paraId="40E1C582" w14:textId="77777777" w:rsidR="008A2C71" w:rsidRPr="00B916EC" w:rsidRDefault="3350CE7D" w:rsidP="00AC1B06">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8A2C71">
              <w:rPr>
                <w:noProof/>
                <w:position w:val="-10"/>
              </w:rPr>
              <w:drawing>
                <wp:inline distT="0" distB="0" distL="0" distR="0" wp14:anchorId="4A0EB721" wp14:editId="3194384B">
                  <wp:extent cx="552450" cy="24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p>
        </w:tc>
      </w:tr>
      <w:tr w:rsidR="008A2C71" w:rsidRPr="00B916EC" w14:paraId="24F32D9F" w14:textId="77777777" w:rsidTr="470F980A">
        <w:trPr>
          <w:cantSplit/>
          <w:jc w:val="center"/>
        </w:trPr>
        <w:tc>
          <w:tcPr>
            <w:tcW w:w="1465" w:type="dxa"/>
            <w:vAlign w:val="center"/>
          </w:tcPr>
          <w:p w14:paraId="5A3B4D36" w14:textId="77777777" w:rsidR="008A2C71" w:rsidRPr="00B916EC" w:rsidRDefault="008A2C71" w:rsidP="00AC1B06">
            <w:pPr>
              <w:pStyle w:val="TAC"/>
            </w:pPr>
            <w:r>
              <w:t>0</w:t>
            </w:r>
          </w:p>
        </w:tc>
        <w:tc>
          <w:tcPr>
            <w:tcW w:w="7800" w:type="dxa"/>
            <w:vAlign w:val="center"/>
          </w:tcPr>
          <w:p w14:paraId="300E056F" w14:textId="77777777" w:rsidR="008A2C71" w:rsidRPr="00B916EC" w:rsidRDefault="008A2C71" w:rsidP="00AC1B06">
            <w:pPr>
              <w:pStyle w:val="TAC"/>
            </w:pPr>
            <w:r w:rsidRPr="00B916EC">
              <w:t>4</w:t>
            </w:r>
            <w:r>
              <w:t>4</w:t>
            </w:r>
          </w:p>
        </w:tc>
      </w:tr>
      <w:tr w:rsidR="008A2C71" w:rsidRPr="00B916EC" w14:paraId="4854A80E" w14:textId="77777777" w:rsidTr="470F980A">
        <w:trPr>
          <w:cantSplit/>
          <w:jc w:val="center"/>
        </w:trPr>
        <w:tc>
          <w:tcPr>
            <w:tcW w:w="1465" w:type="dxa"/>
            <w:vAlign w:val="center"/>
          </w:tcPr>
          <w:p w14:paraId="2029EC61" w14:textId="77777777" w:rsidR="008A2C71" w:rsidRPr="00B916EC" w:rsidRDefault="008A2C71" w:rsidP="00AC1B06">
            <w:pPr>
              <w:pStyle w:val="TAC"/>
            </w:pPr>
            <w:r>
              <w:t>1</w:t>
            </w:r>
          </w:p>
        </w:tc>
        <w:tc>
          <w:tcPr>
            <w:tcW w:w="7800" w:type="dxa"/>
            <w:vAlign w:val="center"/>
          </w:tcPr>
          <w:p w14:paraId="035E00E3" w14:textId="77777777" w:rsidR="008A2C71" w:rsidRPr="00B916EC" w:rsidRDefault="008A2C71" w:rsidP="00AC1B06">
            <w:pPr>
              <w:pStyle w:val="TAC"/>
            </w:pPr>
            <w:r>
              <w:t>36</w:t>
            </w:r>
          </w:p>
        </w:tc>
      </w:tr>
      <w:tr w:rsidR="008A2C71" w:rsidRPr="00B916EC" w14:paraId="1BF9B066" w14:textId="77777777" w:rsidTr="470F980A">
        <w:trPr>
          <w:cantSplit/>
          <w:jc w:val="center"/>
        </w:trPr>
        <w:tc>
          <w:tcPr>
            <w:tcW w:w="1465" w:type="dxa"/>
            <w:vAlign w:val="center"/>
          </w:tcPr>
          <w:p w14:paraId="72C005A3" w14:textId="77777777" w:rsidR="008A2C71" w:rsidRPr="00B916EC" w:rsidRDefault="008A2C71" w:rsidP="00AC1B06">
            <w:pPr>
              <w:pStyle w:val="TAC"/>
            </w:pPr>
            <w:r>
              <w:t>2</w:t>
            </w:r>
          </w:p>
        </w:tc>
        <w:tc>
          <w:tcPr>
            <w:tcW w:w="7800" w:type="dxa"/>
            <w:vAlign w:val="center"/>
          </w:tcPr>
          <w:p w14:paraId="4BA53547" w14:textId="77777777" w:rsidR="008A2C71" w:rsidRPr="00B916EC" w:rsidRDefault="008A2C71" w:rsidP="00AC1B06">
            <w:pPr>
              <w:pStyle w:val="TAC"/>
            </w:pPr>
            <w:r>
              <w:t>22</w:t>
            </w:r>
          </w:p>
        </w:tc>
      </w:tr>
      <w:tr w:rsidR="008A2C71" w:rsidRPr="00B916EC" w14:paraId="43DEFE3D" w14:textId="77777777" w:rsidTr="470F980A">
        <w:trPr>
          <w:cantSplit/>
          <w:jc w:val="center"/>
        </w:trPr>
        <w:tc>
          <w:tcPr>
            <w:tcW w:w="1465" w:type="dxa"/>
            <w:vAlign w:val="center"/>
          </w:tcPr>
          <w:p w14:paraId="54F0F718" w14:textId="77777777" w:rsidR="008A2C71" w:rsidRDefault="008A2C71" w:rsidP="00AC1B06">
            <w:pPr>
              <w:pStyle w:val="TAC"/>
            </w:pPr>
            <w:r>
              <w:t>3</w:t>
            </w:r>
          </w:p>
        </w:tc>
        <w:tc>
          <w:tcPr>
            <w:tcW w:w="7800" w:type="dxa"/>
            <w:vAlign w:val="center"/>
          </w:tcPr>
          <w:p w14:paraId="3B443CD8" w14:textId="77777777" w:rsidR="008A2C71" w:rsidRDefault="008A2C71" w:rsidP="00AC1B06">
            <w:pPr>
              <w:pStyle w:val="TAC"/>
            </w:pPr>
            <w:r>
              <w:t>20</w:t>
            </w:r>
          </w:p>
        </w:tc>
      </w:tr>
    </w:tbl>
    <w:p w14:paraId="5CCC46D8" w14:textId="77777777" w:rsidR="008A2C71" w:rsidRDefault="008A2C71" w:rsidP="008A2C71">
      <w:pPr>
        <w:pStyle w:val="BodyText"/>
      </w:pPr>
    </w:p>
    <w:p w14:paraId="23C6C0C2" w14:textId="77777777" w:rsidR="008A2C71" w:rsidRPr="00B916EC" w:rsidRDefault="3350CE7D" w:rsidP="008A2C71">
      <w:pPr>
        <w:pStyle w:val="TH"/>
      </w:pPr>
      <w:r>
        <w:t>Table 10.1-3</w:t>
      </w:r>
      <w:r w:rsidRPr="00B916EC">
        <w:t xml:space="preserve">: </w:t>
      </w:r>
      <w:r>
        <w:t xml:space="preserve">Maximum number </w:t>
      </w:r>
      <w:r w:rsidR="008A2C71">
        <w:rPr>
          <w:noProof/>
          <w:position w:val="-10"/>
        </w:rPr>
        <w:drawing>
          <wp:inline distT="0" distB="0" distL="0" distR="0" wp14:anchorId="1E405DC7" wp14:editId="265A6E8A">
            <wp:extent cx="488950" cy="2413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r>
        <w:t xml:space="preserve"> of non-overlapped CCEs per slot for a DL BWP with SCS configuration </w:t>
      </w:r>
      <w:r w:rsidR="008A2C71">
        <w:rPr>
          <w:noProof/>
          <w:position w:val="-10"/>
        </w:rPr>
        <w:drawing>
          <wp:inline distT="0" distB="0" distL="0" distR="0" wp14:anchorId="764F7667" wp14:editId="617E3830">
            <wp:extent cx="736600" cy="1841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8A2C71" w:rsidRPr="00BB208D" w14:paraId="0E53CAB9" w14:textId="77777777" w:rsidTr="470F980A">
        <w:trPr>
          <w:cantSplit/>
          <w:jc w:val="center"/>
        </w:trPr>
        <w:tc>
          <w:tcPr>
            <w:tcW w:w="1465" w:type="dxa"/>
            <w:shd w:val="clear" w:color="auto" w:fill="E0E0E0"/>
            <w:vAlign w:val="center"/>
          </w:tcPr>
          <w:p w14:paraId="1ADDA8B9"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423E837F" wp14:editId="734774DA">
                  <wp:extent cx="184150" cy="1841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170" w:type="dxa"/>
            <w:shd w:val="clear" w:color="auto" w:fill="E0E0E0"/>
            <w:vAlign w:val="center"/>
          </w:tcPr>
          <w:p w14:paraId="449E774E" w14:textId="77777777" w:rsidR="008A2C71" w:rsidRPr="00B916EC" w:rsidRDefault="3350CE7D" w:rsidP="00AC1B06">
            <w:pPr>
              <w:pStyle w:val="TAH"/>
              <w:rPr>
                <w:rFonts w:ascii="Times New Roman" w:hAnsi="Times New Roman"/>
                <w:sz w:val="20"/>
              </w:rPr>
            </w:pPr>
            <w:r>
              <w:t>Maximum n</w:t>
            </w:r>
            <w:r w:rsidRPr="00B916EC">
              <w:t xml:space="preserve">umber of </w:t>
            </w:r>
            <w:r>
              <w:t xml:space="preserve">non-overlapped CCEs per slot and per serving cell </w:t>
            </w:r>
            <w:r w:rsidR="008A2C71">
              <w:rPr>
                <w:noProof/>
                <w:position w:val="-10"/>
              </w:rPr>
              <w:drawing>
                <wp:inline distT="0" distB="0" distL="0" distR="0" wp14:anchorId="175AC79C" wp14:editId="10A85B41">
                  <wp:extent cx="488950" cy="2476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8950" cy="247650"/>
                          </a:xfrm>
                          <a:prstGeom prst="rect">
                            <a:avLst/>
                          </a:prstGeom>
                          <a:noFill/>
                          <a:ln>
                            <a:noFill/>
                          </a:ln>
                        </pic:spPr>
                      </pic:pic>
                    </a:graphicData>
                  </a:graphic>
                </wp:inline>
              </w:drawing>
            </w:r>
          </w:p>
        </w:tc>
      </w:tr>
      <w:tr w:rsidR="008A2C71" w:rsidRPr="00BB208D" w14:paraId="24016C7C" w14:textId="77777777" w:rsidTr="470F980A">
        <w:trPr>
          <w:cantSplit/>
          <w:jc w:val="center"/>
        </w:trPr>
        <w:tc>
          <w:tcPr>
            <w:tcW w:w="1465" w:type="dxa"/>
            <w:vAlign w:val="center"/>
          </w:tcPr>
          <w:p w14:paraId="3F94D773" w14:textId="77777777" w:rsidR="008A2C71" w:rsidRPr="00B916EC" w:rsidRDefault="008A2C71" w:rsidP="00AC1B06">
            <w:pPr>
              <w:pStyle w:val="TAC"/>
            </w:pPr>
            <w:r>
              <w:t>0</w:t>
            </w:r>
          </w:p>
        </w:tc>
        <w:tc>
          <w:tcPr>
            <w:tcW w:w="7170" w:type="dxa"/>
            <w:vAlign w:val="center"/>
          </w:tcPr>
          <w:p w14:paraId="4C1A321D" w14:textId="77777777" w:rsidR="008A2C71" w:rsidRPr="00B916EC" w:rsidRDefault="008A2C71" w:rsidP="00AC1B06">
            <w:pPr>
              <w:pStyle w:val="TAC"/>
            </w:pPr>
            <w:r>
              <w:t>56</w:t>
            </w:r>
          </w:p>
        </w:tc>
      </w:tr>
      <w:tr w:rsidR="008A2C71" w:rsidRPr="00BB208D" w14:paraId="02966513" w14:textId="77777777" w:rsidTr="470F980A">
        <w:trPr>
          <w:cantSplit/>
          <w:jc w:val="center"/>
        </w:trPr>
        <w:tc>
          <w:tcPr>
            <w:tcW w:w="1465" w:type="dxa"/>
            <w:vAlign w:val="center"/>
          </w:tcPr>
          <w:p w14:paraId="65ABA4BD" w14:textId="77777777" w:rsidR="008A2C71" w:rsidRPr="00B916EC" w:rsidRDefault="008A2C71" w:rsidP="00AC1B06">
            <w:pPr>
              <w:pStyle w:val="TAC"/>
            </w:pPr>
            <w:r>
              <w:t>1</w:t>
            </w:r>
          </w:p>
        </w:tc>
        <w:tc>
          <w:tcPr>
            <w:tcW w:w="7170" w:type="dxa"/>
            <w:vAlign w:val="center"/>
          </w:tcPr>
          <w:p w14:paraId="04DBE2BF" w14:textId="77777777" w:rsidR="008A2C71" w:rsidRPr="00B916EC" w:rsidRDefault="008A2C71" w:rsidP="00AC1B06">
            <w:pPr>
              <w:pStyle w:val="TAC"/>
            </w:pPr>
            <w:r>
              <w:t>56</w:t>
            </w:r>
          </w:p>
        </w:tc>
      </w:tr>
      <w:tr w:rsidR="008A2C71" w:rsidRPr="00BB208D" w14:paraId="275085D5" w14:textId="77777777" w:rsidTr="470F980A">
        <w:trPr>
          <w:cantSplit/>
          <w:jc w:val="center"/>
        </w:trPr>
        <w:tc>
          <w:tcPr>
            <w:tcW w:w="1465" w:type="dxa"/>
            <w:vAlign w:val="center"/>
          </w:tcPr>
          <w:p w14:paraId="5EB03968" w14:textId="77777777" w:rsidR="008A2C71" w:rsidRPr="00B916EC" w:rsidRDefault="008A2C71" w:rsidP="00AC1B06">
            <w:pPr>
              <w:pStyle w:val="TAC"/>
            </w:pPr>
            <w:r>
              <w:t>2</w:t>
            </w:r>
          </w:p>
        </w:tc>
        <w:tc>
          <w:tcPr>
            <w:tcW w:w="7170" w:type="dxa"/>
            <w:vAlign w:val="center"/>
          </w:tcPr>
          <w:p w14:paraId="29972AC5" w14:textId="77777777" w:rsidR="008A2C71" w:rsidRPr="00B916EC" w:rsidRDefault="008A2C71" w:rsidP="00AC1B06">
            <w:pPr>
              <w:pStyle w:val="TAC"/>
            </w:pPr>
            <w:r>
              <w:t>48</w:t>
            </w:r>
          </w:p>
        </w:tc>
      </w:tr>
      <w:tr w:rsidR="008A2C71" w:rsidRPr="00BB208D" w14:paraId="43DE5803" w14:textId="77777777" w:rsidTr="470F980A">
        <w:trPr>
          <w:cantSplit/>
          <w:jc w:val="center"/>
        </w:trPr>
        <w:tc>
          <w:tcPr>
            <w:tcW w:w="1465" w:type="dxa"/>
            <w:vAlign w:val="center"/>
          </w:tcPr>
          <w:p w14:paraId="572B140B" w14:textId="77777777" w:rsidR="008A2C71" w:rsidRDefault="008A2C71" w:rsidP="00AC1B06">
            <w:pPr>
              <w:pStyle w:val="TAC"/>
            </w:pPr>
            <w:r>
              <w:t>3</w:t>
            </w:r>
          </w:p>
        </w:tc>
        <w:tc>
          <w:tcPr>
            <w:tcW w:w="7170" w:type="dxa"/>
            <w:vAlign w:val="center"/>
          </w:tcPr>
          <w:p w14:paraId="2AACD7C5" w14:textId="77777777" w:rsidR="008A2C71" w:rsidRDefault="008A2C71" w:rsidP="00AC1B06">
            <w:pPr>
              <w:pStyle w:val="TAC"/>
            </w:pPr>
            <w:r>
              <w:t>32</w:t>
            </w:r>
          </w:p>
        </w:tc>
      </w:tr>
    </w:tbl>
    <w:p w14:paraId="43E354D0" w14:textId="77777777" w:rsidR="008A2C71" w:rsidRDefault="008A2C71" w:rsidP="008A2C71">
      <w:pPr>
        <w:pStyle w:val="BodyText"/>
      </w:pPr>
    </w:p>
    <w:p w14:paraId="033994B8" w14:textId="77777777" w:rsidR="008A2C71" w:rsidRPr="00B916EC" w:rsidRDefault="008A2C71" w:rsidP="008A2C71">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8A2C71" w:rsidRPr="00B916EC" w14:paraId="5F8DC83B" w14:textId="77777777" w:rsidTr="00AC1B06">
        <w:trPr>
          <w:cantSplit/>
          <w:jc w:val="center"/>
        </w:trPr>
        <w:tc>
          <w:tcPr>
            <w:tcW w:w="2995" w:type="dxa"/>
            <w:shd w:val="clear" w:color="auto" w:fill="E0E0E0"/>
            <w:vAlign w:val="center"/>
          </w:tcPr>
          <w:p w14:paraId="530B1290" w14:textId="77777777" w:rsidR="008A2C71" w:rsidRPr="00B916EC" w:rsidRDefault="008A2C71" w:rsidP="00AC1B06">
            <w:pPr>
              <w:pStyle w:val="TAH"/>
              <w:rPr>
                <w:rFonts w:ascii="Times New Roman" w:hAnsi="Times New Roman"/>
                <w:sz w:val="20"/>
              </w:rPr>
            </w:pPr>
            <w:r w:rsidRPr="00B916EC">
              <w:t>CCE Aggregation Level</w:t>
            </w:r>
          </w:p>
        </w:tc>
        <w:tc>
          <w:tcPr>
            <w:tcW w:w="3096" w:type="dxa"/>
            <w:shd w:val="clear" w:color="auto" w:fill="E0E0E0"/>
            <w:vAlign w:val="center"/>
          </w:tcPr>
          <w:p w14:paraId="6AD3EF3C" w14:textId="77777777" w:rsidR="008A2C71" w:rsidRPr="00B916EC" w:rsidRDefault="008A2C71" w:rsidP="00AC1B06">
            <w:pPr>
              <w:pStyle w:val="TAH"/>
              <w:rPr>
                <w:rFonts w:ascii="Times New Roman" w:hAnsi="Times New Roman"/>
                <w:sz w:val="20"/>
              </w:rPr>
            </w:pPr>
            <w:r w:rsidRPr="00B916EC">
              <w:t>Number of Candidates</w:t>
            </w:r>
          </w:p>
        </w:tc>
      </w:tr>
      <w:tr w:rsidR="008A2C71" w:rsidRPr="00B916EC" w14:paraId="1CE67CA9" w14:textId="77777777" w:rsidTr="00AC1B06">
        <w:trPr>
          <w:cantSplit/>
          <w:jc w:val="center"/>
        </w:trPr>
        <w:tc>
          <w:tcPr>
            <w:tcW w:w="2995" w:type="dxa"/>
            <w:vAlign w:val="center"/>
          </w:tcPr>
          <w:p w14:paraId="5D476DF4" w14:textId="77777777" w:rsidR="008A2C71" w:rsidRPr="00B916EC" w:rsidRDefault="008A2C71" w:rsidP="00AC1B06">
            <w:pPr>
              <w:pStyle w:val="TAC"/>
            </w:pPr>
            <w:r w:rsidRPr="00B916EC">
              <w:t>4</w:t>
            </w:r>
          </w:p>
        </w:tc>
        <w:tc>
          <w:tcPr>
            <w:tcW w:w="3096" w:type="dxa"/>
            <w:vAlign w:val="center"/>
          </w:tcPr>
          <w:p w14:paraId="18520069" w14:textId="77777777" w:rsidR="008A2C71" w:rsidRPr="00B916EC" w:rsidRDefault="008A2C71" w:rsidP="00AC1B06">
            <w:pPr>
              <w:pStyle w:val="TAC"/>
            </w:pPr>
            <w:r w:rsidRPr="00B916EC">
              <w:t>4</w:t>
            </w:r>
          </w:p>
        </w:tc>
      </w:tr>
      <w:tr w:rsidR="008A2C71" w:rsidRPr="00B916EC" w14:paraId="1FCD24FD" w14:textId="77777777" w:rsidTr="00AC1B06">
        <w:trPr>
          <w:cantSplit/>
          <w:jc w:val="center"/>
        </w:trPr>
        <w:tc>
          <w:tcPr>
            <w:tcW w:w="2995" w:type="dxa"/>
            <w:vAlign w:val="center"/>
          </w:tcPr>
          <w:p w14:paraId="514921EE" w14:textId="77777777" w:rsidR="008A2C71" w:rsidRPr="00B916EC" w:rsidRDefault="008A2C71" w:rsidP="00AC1B06">
            <w:pPr>
              <w:pStyle w:val="TAC"/>
            </w:pPr>
            <w:r w:rsidRPr="00B916EC">
              <w:t>8</w:t>
            </w:r>
          </w:p>
        </w:tc>
        <w:tc>
          <w:tcPr>
            <w:tcW w:w="3096" w:type="dxa"/>
            <w:vAlign w:val="center"/>
          </w:tcPr>
          <w:p w14:paraId="7DA78CB0" w14:textId="77777777" w:rsidR="008A2C71" w:rsidRPr="00B916EC" w:rsidRDefault="008A2C71" w:rsidP="00AC1B06">
            <w:pPr>
              <w:pStyle w:val="TAC"/>
            </w:pPr>
            <w:r w:rsidRPr="00B916EC">
              <w:t>2</w:t>
            </w:r>
          </w:p>
        </w:tc>
      </w:tr>
      <w:tr w:rsidR="008A2C71" w:rsidRPr="00B916EC" w14:paraId="6F478D6D" w14:textId="77777777" w:rsidTr="00AC1B06">
        <w:trPr>
          <w:cantSplit/>
          <w:jc w:val="center"/>
        </w:trPr>
        <w:tc>
          <w:tcPr>
            <w:tcW w:w="2995" w:type="dxa"/>
            <w:vAlign w:val="center"/>
          </w:tcPr>
          <w:p w14:paraId="1C10CADD" w14:textId="77777777" w:rsidR="008A2C71" w:rsidRPr="00B916EC" w:rsidRDefault="008A2C71" w:rsidP="00AC1B06">
            <w:pPr>
              <w:pStyle w:val="TAC"/>
            </w:pPr>
            <w:r w:rsidRPr="00B916EC">
              <w:t>16</w:t>
            </w:r>
          </w:p>
        </w:tc>
        <w:tc>
          <w:tcPr>
            <w:tcW w:w="3096" w:type="dxa"/>
            <w:vAlign w:val="center"/>
          </w:tcPr>
          <w:p w14:paraId="4B4348AA" w14:textId="77777777" w:rsidR="008A2C71" w:rsidRPr="00B916EC" w:rsidRDefault="008A2C71" w:rsidP="00AC1B06">
            <w:pPr>
              <w:pStyle w:val="TAC"/>
            </w:pPr>
            <w:r>
              <w:t>1</w:t>
            </w:r>
          </w:p>
        </w:tc>
      </w:tr>
    </w:tbl>
    <w:p w14:paraId="27098F7A" w14:textId="77777777" w:rsidR="008A2C71" w:rsidRDefault="008A2C71" w:rsidP="008A2C71">
      <w:pPr>
        <w:pStyle w:val="BodyText"/>
      </w:pPr>
    </w:p>
    <w:p w14:paraId="34D1FEFB" w14:textId="6C7227A3" w:rsidR="008A2C71" w:rsidDel="00031170" w:rsidRDefault="008A2C71" w:rsidP="008A2C71">
      <w:pPr>
        <w:pStyle w:val="BodyText"/>
      </w:pPr>
      <w:r>
        <w:t xml:space="preserve">In summary, the expected increases in processing latencies and decreases in processing capabilities associated with large SCS are important factors that should be an integral part of selecting the suitable SCS for NR operations in the 52.6 – 71 GHz frequency range. </w:t>
      </w:r>
      <w:r w:rsidR="000462A6">
        <w:t xml:space="preserve">Clearly, if large SCS is to be supported, there can be a large cost in terms of specification and implementation changes compared to Rel-15. This puts pressure on selecting the SCS for the 52.6 – 71 GHz to be as low as practically possible, preferably leveraging existing SCS in the current spec (&lt;= 480 kHz). </w:t>
      </w:r>
      <w:r>
        <w:t xml:space="preserve">The processing latency and capability issues raised in this section should be extensively discussed already during the SI phase and cannot </w:t>
      </w:r>
      <w:r w:rsidR="008046A9">
        <w:t xml:space="preserve">be </w:t>
      </w:r>
      <w:r>
        <w:t>deferred until the WI phase</w:t>
      </w:r>
      <w:r w:rsidR="000462A6">
        <w:t>:</w:t>
      </w:r>
    </w:p>
    <w:p w14:paraId="1BBADF18" w14:textId="77777777" w:rsidR="00624E03" w:rsidRPr="00624E03" w:rsidRDefault="00624E03" w:rsidP="0017083F">
      <w:pPr>
        <w:pStyle w:val="BodyText"/>
        <w:numPr>
          <w:ilvl w:val="0"/>
          <w:numId w:val="45"/>
        </w:numPr>
        <w:spacing w:after="0"/>
      </w:pPr>
      <w:r w:rsidRPr="00624E03">
        <w:t>PDSCH/PUSCH processing capability (i.e., N1 and N2)</w:t>
      </w:r>
    </w:p>
    <w:p w14:paraId="6B0D6F30" w14:textId="77777777" w:rsidR="00624E03" w:rsidRPr="00624E03" w:rsidRDefault="00624E03" w:rsidP="0017083F">
      <w:pPr>
        <w:pStyle w:val="BodyText"/>
        <w:numPr>
          <w:ilvl w:val="0"/>
          <w:numId w:val="45"/>
        </w:numPr>
        <w:spacing w:after="0"/>
      </w:pPr>
      <w:r w:rsidRPr="00624E03">
        <w:t>Minimum scheduling offsets (e.g., K0min/K2min) and aperiodic CSI-RS/SRS triggering offsets</w:t>
      </w:r>
    </w:p>
    <w:p w14:paraId="7D6F6B9C" w14:textId="77777777" w:rsidR="00624E03" w:rsidRPr="00624E03" w:rsidRDefault="00624E03" w:rsidP="0017083F">
      <w:pPr>
        <w:pStyle w:val="BodyText"/>
        <w:numPr>
          <w:ilvl w:val="0"/>
          <w:numId w:val="45"/>
        </w:numPr>
        <w:spacing w:after="0"/>
      </w:pPr>
      <w:r w:rsidRPr="00624E03">
        <w:t>Maximum number of HARQ processes</w:t>
      </w:r>
    </w:p>
    <w:p w14:paraId="36804485" w14:textId="77777777" w:rsidR="00624E03" w:rsidRPr="00624E03" w:rsidRDefault="00624E03" w:rsidP="0017083F">
      <w:pPr>
        <w:pStyle w:val="BodyText"/>
        <w:numPr>
          <w:ilvl w:val="0"/>
          <w:numId w:val="45"/>
        </w:numPr>
        <w:spacing w:after="0"/>
      </w:pPr>
      <w:r w:rsidRPr="00624E03">
        <w:t>Dynamic SFI and SPS/CG cancellation timing</w:t>
      </w:r>
    </w:p>
    <w:p w14:paraId="71D17E1A" w14:textId="77777777" w:rsidR="00624E03" w:rsidRPr="00624E03" w:rsidRDefault="00624E03" w:rsidP="0017083F">
      <w:pPr>
        <w:pStyle w:val="BodyText"/>
        <w:numPr>
          <w:ilvl w:val="0"/>
          <w:numId w:val="45"/>
        </w:numPr>
        <w:spacing w:after="0"/>
      </w:pPr>
      <w:r w:rsidRPr="00624E03">
        <w:t>Minimum time gap for wake-up and SCell dormancy indication (DCI format 2_6)</w:t>
      </w:r>
    </w:p>
    <w:p w14:paraId="0CDF98D8" w14:textId="77777777" w:rsidR="00624E03" w:rsidRPr="00624E03" w:rsidRDefault="00624E03" w:rsidP="0017083F">
      <w:pPr>
        <w:pStyle w:val="BodyText"/>
        <w:numPr>
          <w:ilvl w:val="0"/>
          <w:numId w:val="45"/>
        </w:numPr>
        <w:spacing w:after="0"/>
      </w:pPr>
      <w:r w:rsidRPr="00624E03">
        <w:t>BWP switch delay</w:t>
      </w:r>
    </w:p>
    <w:p w14:paraId="78F7516F" w14:textId="77777777" w:rsidR="00624E03" w:rsidRPr="00624E03" w:rsidRDefault="00624E03" w:rsidP="0017083F">
      <w:pPr>
        <w:pStyle w:val="BodyText"/>
        <w:numPr>
          <w:ilvl w:val="0"/>
          <w:numId w:val="45"/>
        </w:numPr>
        <w:spacing w:after="0"/>
      </w:pPr>
      <w:r w:rsidRPr="00624E03">
        <w:t>Multi-beam operation timing (timeDurationForQCL, beamSwitchTiming, beam switch gap, etc.)</w:t>
      </w:r>
    </w:p>
    <w:p w14:paraId="5D52F019" w14:textId="32F6DCFE" w:rsidR="00031170" w:rsidRDefault="00624E03" w:rsidP="00624E03">
      <w:pPr>
        <w:pStyle w:val="BodyText"/>
        <w:numPr>
          <w:ilvl w:val="0"/>
          <w:numId w:val="45"/>
        </w:numPr>
      </w:pPr>
      <w:r w:rsidRPr="00624E03">
        <w:t>Aperiodic CSI computation delay (i.e., Z and Z’)</w:t>
      </w:r>
    </w:p>
    <w:p w14:paraId="79212B60" w14:textId="77777777" w:rsidR="00031170" w:rsidRDefault="00031170" w:rsidP="008A2C71">
      <w:pPr>
        <w:pStyle w:val="BodyText"/>
      </w:pPr>
    </w:p>
    <w:p w14:paraId="532095B6" w14:textId="2201D24C" w:rsidR="00637A8D" w:rsidRDefault="006026CE" w:rsidP="00637A8D">
      <w:pPr>
        <w:pStyle w:val="Proposal"/>
      </w:pPr>
      <w:bookmarkStart w:id="133" w:name="_Toc47712041"/>
      <w:r>
        <w:t>The expected increases in processing latencies and decreases in processing capabilities associated with large SCS are important factors that should be an integral part of selecting the suitable SCS for NR operations in the 52.6 – 71 GHz frequency range already during the SI phase and cannot</w:t>
      </w:r>
      <w:r w:rsidR="008046A9">
        <w:t xml:space="preserve"> be</w:t>
      </w:r>
      <w:r>
        <w:t xml:space="preserve"> deferred until the WI phase.</w:t>
      </w:r>
      <w:r w:rsidR="000462A6">
        <w:t xml:space="preserve"> Clearly, such issues put pressure to define SCS(s) as low as possible preferably leveraging existing SCS(s) in the current spec, i.e., </w:t>
      </w:r>
      <w:r w:rsidR="0030277A">
        <w:rPr>
          <w:rFonts w:ascii="Cambria Math" w:hAnsi="Cambria Math"/>
        </w:rPr>
        <w:t>≤</w:t>
      </w:r>
      <w:r w:rsidR="000462A6">
        <w:t>480 kHz.</w:t>
      </w:r>
      <w:bookmarkEnd w:id="133"/>
    </w:p>
    <w:p w14:paraId="66C8E497" w14:textId="77777777" w:rsidR="00B60C96" w:rsidRDefault="00B60C96" w:rsidP="008A2C71">
      <w:pPr>
        <w:pStyle w:val="BodyText"/>
      </w:pPr>
    </w:p>
    <w:p w14:paraId="72467DDE" w14:textId="7E1CBBFB" w:rsidR="009B39C2" w:rsidRDefault="007C3789" w:rsidP="009B39C2">
      <w:pPr>
        <w:pStyle w:val="Heading1"/>
      </w:pPr>
      <w:bookmarkStart w:id="134" w:name="_Toc46307401"/>
      <w:bookmarkStart w:id="135" w:name="_Toc47530179"/>
      <w:r>
        <w:lastRenderedPageBreak/>
        <w:t>4</w:t>
      </w:r>
      <w:r w:rsidR="009B39C2">
        <w:tab/>
      </w:r>
      <w:r w:rsidR="006872BE">
        <w:t xml:space="preserve">Potential </w:t>
      </w:r>
      <w:r w:rsidR="009B39C2">
        <w:t>changes</w:t>
      </w:r>
      <w:r w:rsidR="00E27FD7">
        <w:t xml:space="preserve"> for NR operations in 52.6 to 71 GHz</w:t>
      </w:r>
      <w:bookmarkEnd w:id="134"/>
      <w:bookmarkEnd w:id="135"/>
    </w:p>
    <w:p w14:paraId="55C2FD56" w14:textId="0B08F0AF" w:rsidR="00680E5B" w:rsidRDefault="007C3789" w:rsidP="00680E5B">
      <w:pPr>
        <w:pStyle w:val="Heading2"/>
      </w:pPr>
      <w:bookmarkStart w:id="136" w:name="_Toc46307402"/>
      <w:bookmarkStart w:id="137" w:name="_Toc47530180"/>
      <w:bookmarkStart w:id="138" w:name="_Hlk47424515"/>
      <w:bookmarkStart w:id="139" w:name="_Hlk46398776"/>
      <w:r>
        <w:t>4</w:t>
      </w:r>
      <w:r w:rsidR="00680E5B">
        <w:t>.1</w:t>
      </w:r>
      <w:r w:rsidR="00680E5B">
        <w:tab/>
        <w:t xml:space="preserve">Initial </w:t>
      </w:r>
      <w:r w:rsidR="008C3AD3">
        <w:t>a</w:t>
      </w:r>
      <w:r w:rsidR="00680E5B">
        <w:t xml:space="preserve">ccess </w:t>
      </w:r>
      <w:r w:rsidR="008C3AD3">
        <w:t>s</w:t>
      </w:r>
      <w:r w:rsidR="00680E5B">
        <w:t>ignals/</w:t>
      </w:r>
      <w:r w:rsidR="008C3AD3">
        <w:t>c</w:t>
      </w:r>
      <w:r w:rsidR="00680E5B">
        <w:t xml:space="preserve">hannels </w:t>
      </w:r>
      <w:r w:rsidR="00E52095">
        <w:t xml:space="preserve">and </w:t>
      </w:r>
      <w:r w:rsidR="008C3AD3">
        <w:t>p</w:t>
      </w:r>
      <w:r w:rsidR="00E52095">
        <w:t>rocedures</w:t>
      </w:r>
      <w:bookmarkEnd w:id="136"/>
      <w:bookmarkEnd w:id="137"/>
    </w:p>
    <w:p w14:paraId="0E77A6EF" w14:textId="3906BA35" w:rsidR="00E6525A" w:rsidRPr="00F94015" w:rsidRDefault="003B525C" w:rsidP="00F94015">
      <w:pPr>
        <w:pStyle w:val="BodyText"/>
        <w:rPr>
          <w:b/>
          <w:u w:val="single"/>
        </w:rPr>
      </w:pPr>
      <w:bookmarkStart w:id="140" w:name="_Toc46307403"/>
      <w:bookmarkEnd w:id="138"/>
      <w:bookmarkEnd w:id="139"/>
      <w:r>
        <w:rPr>
          <w:b/>
          <w:bCs/>
          <w:u w:val="single"/>
        </w:rPr>
        <w:t>D</w:t>
      </w:r>
      <w:r w:rsidR="00E6525A" w:rsidRPr="00F94015">
        <w:rPr>
          <w:b/>
          <w:bCs/>
          <w:u w:val="single"/>
        </w:rPr>
        <w:t>iscovery</w:t>
      </w:r>
      <w:r w:rsidR="00E6525A" w:rsidRPr="00F94015">
        <w:rPr>
          <w:b/>
          <w:u w:val="single"/>
        </w:rPr>
        <w:t xml:space="preserve"> Burst Transmission Window</w:t>
      </w:r>
    </w:p>
    <w:p w14:paraId="6419D2B2" w14:textId="33BDAE2A" w:rsidR="00E6525A" w:rsidRDefault="00E6525A" w:rsidP="00F94015">
      <w:pPr>
        <w:pStyle w:val="BodyText"/>
      </w:pPr>
      <w:r>
        <w:t>For NR-U in the 5/6 GHz band, allowing the SS/PBCH blocks to slide within the discovery burst transmission window due to LBT outcome is an optimization. A</w:t>
      </w:r>
      <w:r w:rsidR="00E90690">
        <w:t>t</w:t>
      </w:r>
      <w:r>
        <w:t xml:space="preserve"> low-to-moderate loads – the preferred operating point of the system – and/or in controlled environments, a large fraction of the time, sliding is not needed. Furthermore, occasional dropping of an SS/PBCH block to LBT failure is not disastrous to system performance.</w:t>
      </w:r>
    </w:p>
    <w:p w14:paraId="21AE7C2D" w14:textId="66848829" w:rsidR="00E6525A" w:rsidRDefault="00E6525A" w:rsidP="00026AFC">
      <w:pPr>
        <w:pStyle w:val="BodyText"/>
      </w:pPr>
      <w:r>
        <w:t xml:space="preserve">In the </w:t>
      </w:r>
      <w:r w:rsidR="001B424F">
        <w:t>52.6 – 71</w:t>
      </w:r>
      <w:r>
        <w:t xml:space="preserve"> GHz band, the need for sliding within a window is even less since LBT failure is rare. First of all, LBT is not a requirement in all regulatory regions or bands. Even for regions/bands where LBT is required (e.g., c1 band according to CEPT), the LBT threshold is much higher than for the 5/6 GHz band. System simulation results (see </w:t>
      </w:r>
      <w:r>
        <w:fldChar w:fldCharType="begin"/>
      </w:r>
      <w:r>
        <w:instrText xml:space="preserve"> REF _Ref46490548 \r \h </w:instrText>
      </w:r>
      <w:r w:rsidR="00026AFC">
        <w:instrText xml:space="preserve"> \* MERGEFORMAT </w:instrText>
      </w:r>
      <w:r>
        <w:fldChar w:fldCharType="separate"/>
      </w:r>
      <w:r w:rsidR="00CF206F">
        <w:t>[3]</w:t>
      </w:r>
      <w:r>
        <w:fldChar w:fldCharType="end"/>
      </w:r>
      <w:r>
        <w:t xml:space="preserve">) show that the system performance without LBT is on par, or even better, than with LBT. This can be explained by the fact that </w:t>
      </w:r>
      <w:r w:rsidR="001B424F">
        <w:t xml:space="preserve">the inherent use of narrow </w:t>
      </w:r>
      <w:r w:rsidR="00D03B6B">
        <w:t>beams</w:t>
      </w:r>
      <w:r w:rsidR="001B424F">
        <w:t xml:space="preserve"> and the large path loss significantly reduces the probability of interference. For these reasons, it is not necessary to optimize the SS/PBCH transmission/reception mechanism by introduction of a transmission window.</w:t>
      </w:r>
    </w:p>
    <w:p w14:paraId="1C07A9DA" w14:textId="77777777" w:rsidR="001D256D" w:rsidRPr="00F94015" w:rsidRDefault="001D256D" w:rsidP="00F94015">
      <w:pPr>
        <w:pStyle w:val="BodyText"/>
      </w:pPr>
    </w:p>
    <w:p w14:paraId="4F146D00" w14:textId="629CD53A" w:rsidR="001D256D" w:rsidRPr="00444773" w:rsidRDefault="001D256D" w:rsidP="001D256D">
      <w:pPr>
        <w:pStyle w:val="Proposal"/>
        <w:rPr>
          <w:b w:val="0"/>
          <w:bCs w:val="0"/>
        </w:rPr>
      </w:pPr>
      <w:bookmarkStart w:id="141" w:name="_Toc47712042"/>
      <w:r w:rsidRPr="0035235B">
        <w:t xml:space="preserve">Do not </w:t>
      </w:r>
      <w:r>
        <w:t xml:space="preserve">design for </w:t>
      </w:r>
      <w:r w:rsidRPr="0035235B">
        <w:t xml:space="preserve">SS/PBCH </w:t>
      </w:r>
      <w:r>
        <w:t>block sliding</w:t>
      </w:r>
      <w:r w:rsidRPr="0035235B">
        <w:t xml:space="preserve"> within a transmission window for &gt;52.6 GHz operation</w:t>
      </w:r>
      <w:r>
        <w:t>.</w:t>
      </w:r>
      <w:bookmarkEnd w:id="141"/>
    </w:p>
    <w:p w14:paraId="09BD3F4E" w14:textId="4E620FC2" w:rsidR="00E6525A" w:rsidRPr="00F94015" w:rsidRDefault="00E6525A" w:rsidP="00F94015">
      <w:pPr>
        <w:pStyle w:val="BodyText"/>
        <w:rPr>
          <w:rFonts w:ascii="Times New Roman" w:hAnsi="Times New Roman"/>
          <w:b/>
        </w:rPr>
      </w:pPr>
    </w:p>
    <w:p w14:paraId="2579F246" w14:textId="0F3DF884" w:rsidR="009227DA" w:rsidRPr="00F94015" w:rsidRDefault="009227DA" w:rsidP="00F94015">
      <w:pPr>
        <w:pStyle w:val="BodyText"/>
        <w:rPr>
          <w:b/>
          <w:u w:val="single"/>
        </w:rPr>
      </w:pPr>
      <w:r w:rsidRPr="00F94015">
        <w:rPr>
          <w:b/>
          <w:u w:val="single"/>
        </w:rPr>
        <w:t>SS/PBCH + Type0-PDCCH Design</w:t>
      </w:r>
    </w:p>
    <w:p w14:paraId="52F7D84C" w14:textId="147A0CD3" w:rsidR="00A97A74" w:rsidRPr="002D276E" w:rsidRDefault="00741B3C" w:rsidP="00026AFC">
      <w:pPr>
        <w:pStyle w:val="BodyText"/>
      </w:pPr>
      <w:r w:rsidRPr="002D276E">
        <w:t>NR Rel-15/16</w:t>
      </w:r>
      <w:r>
        <w:t xml:space="preserve"> supports time/frequency designs for the </w:t>
      </w:r>
      <w:r w:rsidR="00A97A74">
        <w:t>120 and 240 kHz SS/PBCH blocks as well as the associated SS/PBCH / CORESET0 multiplexing patterns (Patterns 1, 2, and 3). Since the SS/PBCH is fundamental to system operation and plays a key part of determining cell coverage, it is preferable to reuse existing designs as much as possible, including the already defined subcarrier spacings. If larger SCSs are needed for other signals/channels that can be considered separately. Our preference is to avoid increasing the SCS of SS/PBCH block to maintain the coverage potential of the existing design.</w:t>
      </w:r>
    </w:p>
    <w:p w14:paraId="6870258E" w14:textId="77777777" w:rsidR="005E37DF" w:rsidRPr="002D276E" w:rsidRDefault="005E37DF" w:rsidP="00F94015">
      <w:pPr>
        <w:pStyle w:val="BodyText"/>
      </w:pPr>
    </w:p>
    <w:p w14:paraId="6FD9727B" w14:textId="56CA00A2" w:rsidR="00C15AC9" w:rsidRPr="00F94015" w:rsidRDefault="00A97A74" w:rsidP="00C15AC9">
      <w:pPr>
        <w:pStyle w:val="Proposal"/>
        <w:rPr>
          <w:b w:val="0"/>
          <w:bCs w:val="0"/>
        </w:rPr>
      </w:pPr>
      <w:bookmarkStart w:id="142" w:name="_Toc47712043"/>
      <w:r>
        <w:t>For NR operations in the 52.6 – 71 GHz band, consider only 120 and 240 kHz SCS for SS/PBCH blocks</w:t>
      </w:r>
      <w:r w:rsidR="00CE004D">
        <w:t>, as already supported in Rel-15/16</w:t>
      </w:r>
      <w:r>
        <w:t>.</w:t>
      </w:r>
      <w:bookmarkEnd w:id="142"/>
    </w:p>
    <w:p w14:paraId="51468340" w14:textId="313CDF46" w:rsidR="00E52B79" w:rsidRPr="00444773" w:rsidRDefault="00A97A74" w:rsidP="00E52B79">
      <w:pPr>
        <w:pStyle w:val="Proposal"/>
        <w:rPr>
          <w:b w:val="0"/>
          <w:bCs w:val="0"/>
        </w:rPr>
      </w:pPr>
      <w:bookmarkStart w:id="143" w:name="_Toc47712044"/>
      <w:r>
        <w:t xml:space="preserve">Consider reusing the SS/PBCH / CORSET0 multiplexing patterns as much as possible. </w:t>
      </w:r>
      <w:r w:rsidR="00E52B79">
        <w:t>If minor, targeted, enhancements to particular pattern(s) are beneficial, these can be considered.</w:t>
      </w:r>
      <w:bookmarkEnd w:id="143"/>
    </w:p>
    <w:p w14:paraId="2C632995" w14:textId="77777777" w:rsidR="00BA1CFD" w:rsidRDefault="00BA1CFD" w:rsidP="006575FB">
      <w:pPr>
        <w:pStyle w:val="BodyText"/>
      </w:pPr>
    </w:p>
    <w:p w14:paraId="4CD96EFC" w14:textId="5A93C396" w:rsidR="00A97A74" w:rsidRDefault="00665E76" w:rsidP="006575FB">
      <w:pPr>
        <w:pStyle w:val="BodyText"/>
      </w:pPr>
      <w:r w:rsidRPr="00026AFC">
        <w:t xml:space="preserve">Considering existing SS/PBCH / CORESET0 multiplexing patterns 2 and </w:t>
      </w:r>
      <w:r>
        <w:t xml:space="preserve">3, </w:t>
      </w:r>
      <w:r w:rsidR="00BC72CF">
        <w:t>it can be seen that they</w:t>
      </w:r>
      <w:r>
        <w:t xml:space="preserve"> are r</w:t>
      </w:r>
      <w:r w:rsidRPr="00F94015">
        <w:t xml:space="preserve">estricted to very small RMSI payloads </w:t>
      </w:r>
      <w:r w:rsidR="004B7689" w:rsidRPr="00F94015">
        <w:t xml:space="preserve">due </w:t>
      </w:r>
      <w:r w:rsidRPr="00F94015">
        <w:t>to</w:t>
      </w:r>
      <w:r w:rsidR="004B7689" w:rsidRPr="00F94015">
        <w:t xml:space="preserve"> </w:t>
      </w:r>
      <w:r w:rsidRPr="00F94015">
        <w:t>the</w:t>
      </w:r>
      <w:r w:rsidR="004B7689" w:rsidRPr="00F94015">
        <w:t xml:space="preserve"> small number of </w:t>
      </w:r>
      <w:r w:rsidRPr="00F94015">
        <w:t>available OFDM symbols for RMSI PDSCH.</w:t>
      </w:r>
      <w:r w:rsidR="004B7689" w:rsidRPr="00F94015">
        <w:t xml:space="preserve"> </w:t>
      </w:r>
      <w:r w:rsidR="004B7689" w:rsidRPr="00EC0DF7">
        <w:fldChar w:fldCharType="begin"/>
      </w:r>
      <w:r w:rsidR="004B7689" w:rsidRPr="00C15AC9">
        <w:instrText xml:space="preserve"> REF _Ref46492683 \h </w:instrText>
      </w:r>
      <w:r w:rsidR="00C15AC9">
        <w:instrText xml:space="preserve"> \* MERGEFORMAT </w:instrText>
      </w:r>
      <w:r w:rsidR="004B7689" w:rsidRPr="00EC0DF7">
        <w:fldChar w:fldCharType="separate"/>
      </w:r>
      <w:r w:rsidR="00CF206F" w:rsidRPr="00CF206F">
        <w:t xml:space="preserve">Figure </w:t>
      </w:r>
      <w:r w:rsidR="00CF206F">
        <w:t>31</w:t>
      </w:r>
      <w:r w:rsidR="004B7689" w:rsidRPr="00EC0DF7">
        <w:fldChar w:fldCharType="end"/>
      </w:r>
      <w:r w:rsidR="004B7689" w:rsidRPr="00F94015">
        <w:t xml:space="preserve"> shows two 120 kHz slots of an exemplary configuration of SS/PBCH, Type-0 PDCCH monitoring occasions, and PDSCH carrying SIB1 (RMSI). The pattern repeats in subsequent slots up to 64 SS/PBCH blocks. This example is based on multiplexing Pattern 2 with 240 kHz SCS for SS/PBCH blocks and 120 kHz SCS for Type0-PDCCH and RMSI PDSCH. Within the time duration of one 120 kHz slot, four SS/PBCH blocks may be transmitted as well as the QCL'd Type0-PDCCH and RMSI PDSCH. However, only 2 OFDM symbols are available for RMSI PDSCH which limits the RMSI payload. A similar limitation occurs for Pattern 3</w:t>
      </w:r>
      <w:r w:rsidR="00E45F0E" w:rsidRPr="00F94015">
        <w:t>.</w:t>
      </w:r>
    </w:p>
    <w:p w14:paraId="36A395C6" w14:textId="77777777" w:rsidR="005E37DF" w:rsidRPr="00502DE4" w:rsidRDefault="005E37DF" w:rsidP="00F94015">
      <w:pPr>
        <w:pStyle w:val="BodyText"/>
      </w:pPr>
    </w:p>
    <w:p w14:paraId="53D7E57A" w14:textId="1787CB14" w:rsidR="00E45F0E" w:rsidRPr="0035235B" w:rsidRDefault="00E45F0E" w:rsidP="00F94015">
      <w:pPr>
        <w:pStyle w:val="Observation"/>
        <w:rPr>
          <w:lang w:eastAsia="zh-CN"/>
        </w:rPr>
      </w:pPr>
      <w:bookmarkStart w:id="144" w:name="_Toc47712029"/>
      <w:r w:rsidRPr="0035235B">
        <w:rPr>
          <w:lang w:eastAsia="zh-CN"/>
        </w:rPr>
        <w:t xml:space="preserve">SS/PBCH / CORESET0 multiplexing patterns 2 and 3 are restricted to very small RMSI payloads due to the </w:t>
      </w:r>
      <w:r>
        <w:rPr>
          <w:lang w:eastAsia="zh-CN"/>
        </w:rPr>
        <w:t>small</w:t>
      </w:r>
      <w:r w:rsidRPr="0035235B">
        <w:rPr>
          <w:lang w:eastAsia="zh-CN"/>
        </w:rPr>
        <w:t xml:space="preserve"> number (2) of available OFDM symbols for RMSI PDSCH</w:t>
      </w:r>
      <w:r>
        <w:rPr>
          <w:lang w:eastAsia="zh-CN"/>
        </w:rPr>
        <w:t>.</w:t>
      </w:r>
      <w:bookmarkEnd w:id="144"/>
    </w:p>
    <w:p w14:paraId="45E741E6" w14:textId="77777777" w:rsidR="00E45F0E" w:rsidRPr="008A422C" w:rsidRDefault="00E45F0E" w:rsidP="00F94015">
      <w:pPr>
        <w:pStyle w:val="BodyText"/>
      </w:pPr>
    </w:p>
    <w:p w14:paraId="32D20EDA" w14:textId="1D1E4010" w:rsidR="004B7689" w:rsidRDefault="2087BD11" w:rsidP="00F94015">
      <w:pPr>
        <w:pStyle w:val="BodyText"/>
      </w:pPr>
      <w:r>
        <w:rPr>
          <w:noProof/>
        </w:rPr>
        <w:lastRenderedPageBreak/>
        <w:drawing>
          <wp:inline distT="0" distB="0" distL="0" distR="0" wp14:anchorId="080AA58C" wp14:editId="2F6204E4">
            <wp:extent cx="6120765" cy="3263900"/>
            <wp:effectExtent l="0" t="0" r="0" b="0"/>
            <wp:docPr id="1239340929" name="Picture 1084127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4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765" cy="3263900"/>
                    </a:xfrm>
                    <a:prstGeom prst="rect">
                      <a:avLst/>
                    </a:prstGeom>
                  </pic:spPr>
                </pic:pic>
              </a:graphicData>
            </a:graphic>
          </wp:inline>
        </w:drawing>
      </w:r>
    </w:p>
    <w:p w14:paraId="416046C0" w14:textId="19E5D60D" w:rsidR="00665E76" w:rsidRPr="00F94015" w:rsidRDefault="004B7689" w:rsidP="008B4E88">
      <w:pPr>
        <w:pStyle w:val="Caption"/>
        <w:jc w:val="both"/>
        <w:rPr>
          <w:rFonts w:ascii="Arial" w:hAnsi="Arial" w:cs="Arial"/>
          <w:b w:val="0"/>
        </w:rPr>
      </w:pPr>
      <w:bookmarkStart w:id="145" w:name="_Ref46492683"/>
      <w:r w:rsidRPr="00F94015">
        <w:rPr>
          <w:rFonts w:ascii="Arial" w:hAnsi="Arial" w:cs="Arial"/>
        </w:rPr>
        <w:t xml:space="preserve">Figure </w:t>
      </w:r>
      <w:r w:rsidRPr="00F94015">
        <w:rPr>
          <w:rFonts w:ascii="Arial" w:hAnsi="Arial" w:cs="Arial"/>
        </w:rPr>
        <w:fldChar w:fldCharType="begin"/>
      </w:r>
      <w:r>
        <w:instrText xml:space="preserve"> SEQ Figure \* ARABIC </w:instrText>
      </w:r>
      <w:r w:rsidRPr="00F94015">
        <w:rPr>
          <w:rFonts w:ascii="Arial" w:hAnsi="Arial" w:cs="Arial"/>
        </w:rPr>
        <w:fldChar w:fldCharType="separate"/>
      </w:r>
      <w:r w:rsidR="00CF206F">
        <w:rPr>
          <w:noProof/>
        </w:rPr>
        <w:t>31</w:t>
      </w:r>
      <w:r w:rsidRPr="00F94015">
        <w:rPr>
          <w:rFonts w:ascii="Arial" w:hAnsi="Arial" w:cs="Arial"/>
        </w:rPr>
        <w:fldChar w:fldCharType="end"/>
      </w:r>
      <w:bookmarkEnd w:id="145"/>
      <w:r w:rsidRPr="00F94015">
        <w:rPr>
          <w:rFonts w:ascii="Arial" w:hAnsi="Arial" w:cs="Arial"/>
        </w:rPr>
        <w:t xml:space="preserve">: Example configuration based on </w:t>
      </w:r>
      <w:r w:rsidR="00FB1110" w:rsidRPr="00F94015">
        <w:rPr>
          <w:rFonts w:ascii="Arial" w:hAnsi="Arial" w:cs="Arial"/>
        </w:rPr>
        <w:t xml:space="preserve">SS/PBCH / CORESET0 </w:t>
      </w:r>
      <w:r w:rsidR="00E45F0E" w:rsidRPr="00F94015">
        <w:rPr>
          <w:rFonts w:ascii="Arial" w:hAnsi="Arial" w:cs="Arial"/>
        </w:rPr>
        <w:t xml:space="preserve">multiplexing </w:t>
      </w:r>
      <w:r w:rsidRPr="00F94015">
        <w:rPr>
          <w:rFonts w:ascii="Arial" w:hAnsi="Arial" w:cs="Arial"/>
        </w:rPr>
        <w:t>Pattern 2</w:t>
      </w:r>
      <w:r w:rsidR="00E2130C" w:rsidRPr="00F94015">
        <w:rPr>
          <w:rFonts w:ascii="Arial" w:hAnsi="Arial" w:cs="Arial"/>
        </w:rPr>
        <w:t xml:space="preserve"> (two 120 kHz slots are shown)</w:t>
      </w:r>
      <w:r w:rsidR="00E45F0E" w:rsidRPr="00F94015">
        <w:rPr>
          <w:rFonts w:ascii="Arial" w:hAnsi="Arial" w:cs="Arial"/>
        </w:rPr>
        <w:t>. SS/PBCH is configured with 240 kHz SCS and Type0-PDCCH + RMSI PDSCH are configured with 120 kHz SCS.</w:t>
      </w:r>
    </w:p>
    <w:p w14:paraId="1205C88D" w14:textId="32B8784D" w:rsidR="00FB1110" w:rsidRPr="0093469D" w:rsidRDefault="00E45F0E" w:rsidP="006575FB">
      <w:pPr>
        <w:pStyle w:val="BodyText"/>
      </w:pPr>
      <w:r w:rsidRPr="0093469D">
        <w:t xml:space="preserve">In order to carry practical RMSI payloads (e.g., </w:t>
      </w:r>
      <w:r w:rsidR="00FB1110" w:rsidRPr="0093469D">
        <w:t xml:space="preserve">on the order of </w:t>
      </w:r>
      <w:r w:rsidRPr="0093469D">
        <w:t>700 bits), Pattern 1 is less restrictive due to the fact that Type0-PDCCH / RMSI PDSCH are time division multiplexed</w:t>
      </w:r>
      <w:r w:rsidR="00E2130C" w:rsidRPr="0093469D">
        <w:t xml:space="preserve"> with SS/PBCH instead of frequency division multiplexed</w:t>
      </w:r>
      <w:r w:rsidRPr="0093469D">
        <w:t xml:space="preserve">. In fact, if the offset O in 38.213 Table 13-12 is chosen to be non-zero, Type0-PDCCH + RMSI PDSCH can be configured to occupy separate </w:t>
      </w:r>
      <w:r w:rsidRPr="00AD4E63">
        <w:t xml:space="preserve">slots </w:t>
      </w:r>
      <w:r w:rsidR="00BC72CF" w:rsidRPr="00F94015">
        <w:t>not containing</w:t>
      </w:r>
      <w:r w:rsidRPr="00AD4E63">
        <w:t xml:space="preserve"> SS/PBCH </w:t>
      </w:r>
      <w:r w:rsidRPr="00F94015">
        <w:t>block</w:t>
      </w:r>
      <w:r w:rsidR="00BC72CF" w:rsidRPr="00F94015">
        <w:t>(s)</w:t>
      </w:r>
      <w:r w:rsidRPr="00F94015" w:rsidDel="00BC72CF">
        <w:t>s</w:t>
      </w:r>
      <w:r w:rsidRPr="00F94015">
        <w:t>.</w:t>
      </w:r>
      <w:r w:rsidR="00E2130C" w:rsidRPr="00AD4E63">
        <w:t xml:space="preserve"> With</w:t>
      </w:r>
      <w:r w:rsidR="00E2130C" w:rsidRPr="00F94015">
        <w:t xml:space="preserve"> </w:t>
      </w:r>
      <w:r w:rsidR="00BC72CF" w:rsidRPr="00F94015">
        <w:t>the</w:t>
      </w:r>
      <w:r w:rsidR="00E2130C" w:rsidRPr="0093469D">
        <w:t xml:space="preserve"> existing Default SLIV Table A in 38.214, RMSI PDSCH can be configured to start at OFDM symbols 2 and 6 with length = 4. This doubles the RMSI payload compared to Pattern 2 shown in </w:t>
      </w:r>
      <w:r w:rsidR="00E2130C" w:rsidRPr="002D276E">
        <w:fldChar w:fldCharType="begin"/>
      </w:r>
      <w:r w:rsidR="00E2130C" w:rsidRPr="0093469D">
        <w:instrText xml:space="preserve"> REF _Ref46492683 \h </w:instrText>
      </w:r>
      <w:r w:rsidR="0093469D">
        <w:instrText xml:space="preserve"> \* MERGEFORMAT </w:instrText>
      </w:r>
      <w:r w:rsidR="00E2130C" w:rsidRPr="002D276E">
        <w:fldChar w:fldCharType="separate"/>
      </w:r>
      <w:r w:rsidR="00CF206F" w:rsidRPr="00CF206F">
        <w:t xml:space="preserve">Figure </w:t>
      </w:r>
      <w:r w:rsidR="00CF206F">
        <w:t>31</w:t>
      </w:r>
      <w:r w:rsidR="00E2130C" w:rsidRPr="002D276E">
        <w:fldChar w:fldCharType="end"/>
      </w:r>
      <w:r w:rsidR="00E2130C" w:rsidRPr="0093469D">
        <w:t>.</w:t>
      </w:r>
    </w:p>
    <w:p w14:paraId="616B5815" w14:textId="77777777" w:rsidR="005E37DF" w:rsidRPr="0093469D" w:rsidRDefault="005E37DF" w:rsidP="00F94015">
      <w:pPr>
        <w:pStyle w:val="BodyText"/>
      </w:pPr>
    </w:p>
    <w:p w14:paraId="5C1D1D02" w14:textId="6232AAAD" w:rsidR="00E2130C" w:rsidRPr="0035235B" w:rsidRDefault="00E2130C" w:rsidP="00F94015">
      <w:pPr>
        <w:pStyle w:val="Observation"/>
        <w:rPr>
          <w:lang w:eastAsia="zh-CN"/>
        </w:rPr>
      </w:pPr>
      <w:bookmarkStart w:id="146" w:name="_Toc47712030"/>
      <w:r w:rsidRPr="0035235B">
        <w:rPr>
          <w:lang w:eastAsia="zh-CN"/>
        </w:rPr>
        <w:t xml:space="preserve">SS/PBCH / CORESET0 multiplexing pattern 1, especially with non-zero offset O for the Type0-PDCCH monitoring occasions, is much less restrictive in terms of allowable RMSI payload due to </w:t>
      </w:r>
      <w:r w:rsidR="00395684">
        <w:rPr>
          <w:lang w:eastAsia="zh-CN"/>
        </w:rPr>
        <w:t xml:space="preserve">the fact </w:t>
      </w:r>
      <w:r w:rsidRPr="0035235B">
        <w:rPr>
          <w:lang w:eastAsia="zh-CN"/>
        </w:rPr>
        <w:t>that SS/PBCH and RMSI PDCCH/PDSCH are time division multiplexed.</w:t>
      </w:r>
      <w:bookmarkEnd w:id="146"/>
    </w:p>
    <w:p w14:paraId="0EAB4906" w14:textId="77777777" w:rsidR="00E2130C" w:rsidRPr="00723A12" w:rsidRDefault="00E2130C" w:rsidP="00F94015">
      <w:pPr>
        <w:pStyle w:val="BodyText"/>
      </w:pPr>
    </w:p>
    <w:p w14:paraId="2FB301C7" w14:textId="77777777" w:rsidR="00E2130C" w:rsidRPr="00723A12" w:rsidRDefault="00E2130C" w:rsidP="00F94015">
      <w:pPr>
        <w:pStyle w:val="BodyText"/>
      </w:pPr>
    </w:p>
    <w:p w14:paraId="78ACE463" w14:textId="1233A72B" w:rsidR="00FB1110" w:rsidRDefault="00FB1110" w:rsidP="00F94015">
      <w:pPr>
        <w:pStyle w:val="BodyText"/>
      </w:pPr>
      <w:r>
        <w:rPr>
          <w:noProof/>
        </w:rPr>
        <w:drawing>
          <wp:inline distT="0" distB="0" distL="0" distR="0" wp14:anchorId="1ECD9C16" wp14:editId="61BFF5DE">
            <wp:extent cx="6858000" cy="2916936"/>
            <wp:effectExtent l="0" t="0" r="0" b="0"/>
            <wp:docPr id="161447109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49">
                      <a:extLst>
                        <a:ext uri="{28A0092B-C50C-407E-A947-70E740481C1C}">
                          <a14:useLocalDpi xmlns:a14="http://schemas.microsoft.com/office/drawing/2010/main" val="0"/>
                        </a:ext>
                      </a:extLst>
                    </a:blip>
                    <a:stretch>
                      <a:fillRect/>
                    </a:stretch>
                  </pic:blipFill>
                  <pic:spPr>
                    <a:xfrm>
                      <a:off x="0" y="0"/>
                      <a:ext cx="6858000" cy="2916936"/>
                    </a:xfrm>
                    <a:prstGeom prst="rect">
                      <a:avLst/>
                    </a:prstGeom>
                  </pic:spPr>
                </pic:pic>
              </a:graphicData>
            </a:graphic>
          </wp:inline>
        </w:drawing>
      </w:r>
    </w:p>
    <w:p w14:paraId="5A7E1F36" w14:textId="34DE56C6" w:rsidR="00FB1110" w:rsidRPr="00F94015" w:rsidRDefault="00FB1110" w:rsidP="00FB1110">
      <w:pPr>
        <w:pStyle w:val="Caption"/>
        <w:jc w:val="both"/>
        <w:rPr>
          <w:rFonts w:ascii="Arial" w:hAnsi="Arial" w:cs="Arial"/>
          <w:b w:val="0"/>
        </w:rPr>
      </w:pPr>
      <w:bookmarkStart w:id="147" w:name="_Ref46494812"/>
      <w:r w:rsidRPr="00F94015">
        <w:rPr>
          <w:rFonts w:ascii="Arial" w:hAnsi="Arial" w:cs="Arial"/>
        </w:rPr>
        <w:lastRenderedPageBreak/>
        <w:t xml:space="preserve">Figure </w:t>
      </w:r>
      <w:r w:rsidRPr="00F94015">
        <w:rPr>
          <w:rFonts w:ascii="Arial" w:hAnsi="Arial" w:cs="Arial"/>
        </w:rPr>
        <w:fldChar w:fldCharType="begin"/>
      </w:r>
      <w:r>
        <w:instrText xml:space="preserve"> SEQ Figure \* ARABIC </w:instrText>
      </w:r>
      <w:r w:rsidRPr="00F94015">
        <w:rPr>
          <w:rFonts w:ascii="Arial" w:hAnsi="Arial" w:cs="Arial"/>
        </w:rPr>
        <w:fldChar w:fldCharType="separate"/>
      </w:r>
      <w:r w:rsidR="00CF206F">
        <w:rPr>
          <w:noProof/>
        </w:rPr>
        <w:t>32</w:t>
      </w:r>
      <w:r w:rsidRPr="00F94015">
        <w:rPr>
          <w:rFonts w:ascii="Arial" w:hAnsi="Arial" w:cs="Arial"/>
        </w:rPr>
        <w:fldChar w:fldCharType="end"/>
      </w:r>
      <w:bookmarkEnd w:id="147"/>
      <w:r w:rsidRPr="00F94015">
        <w:rPr>
          <w:rFonts w:ascii="Arial" w:hAnsi="Arial" w:cs="Arial"/>
        </w:rPr>
        <w:t>: Example configuration based on SS/PBCH / CORESET0 multiplexing Pattern 1</w:t>
      </w:r>
      <w:r w:rsidR="00E2130C" w:rsidRPr="00F94015">
        <w:rPr>
          <w:rFonts w:ascii="Arial" w:hAnsi="Arial" w:cs="Arial"/>
        </w:rPr>
        <w:t xml:space="preserve"> (two 120 kHz slots are shown)</w:t>
      </w:r>
      <w:r w:rsidRPr="00F94015">
        <w:rPr>
          <w:rFonts w:ascii="Arial" w:hAnsi="Arial" w:cs="Arial"/>
        </w:rPr>
        <w:t xml:space="preserve">. The SS/PBCH is configuration follows the same pattern </w:t>
      </w:r>
      <w:r w:rsidR="00E2130C" w:rsidRPr="00F94015">
        <w:rPr>
          <w:rFonts w:ascii="Arial" w:hAnsi="Arial" w:cs="Arial"/>
        </w:rPr>
        <w:t xml:space="preserve">as shown </w:t>
      </w:r>
      <w:r w:rsidRPr="00F94015">
        <w:rPr>
          <w:rFonts w:ascii="Arial" w:hAnsi="Arial" w:cs="Arial"/>
        </w:rPr>
        <w:t xml:space="preserve">in </w:t>
      </w:r>
      <w:r w:rsidRPr="00F94015">
        <w:rPr>
          <w:rFonts w:ascii="Arial" w:hAnsi="Arial" w:cs="Arial"/>
        </w:rPr>
        <w:fldChar w:fldCharType="begin"/>
      </w:r>
      <w:r w:rsidRPr="00F94015">
        <w:rPr>
          <w:rFonts w:ascii="Arial" w:hAnsi="Arial" w:cs="Arial"/>
        </w:rPr>
        <w:instrText xml:space="preserve"> REF _Ref46492683 \h </w:instrText>
      </w:r>
      <w:r w:rsidR="00862E23">
        <w:rPr>
          <w:rFonts w:ascii="Arial" w:hAnsi="Arial" w:cs="Arial"/>
        </w:rPr>
        <w:instrText xml:space="preserve"> \* MERGEFORMAT </w:instrText>
      </w:r>
      <w:r w:rsidRPr="00F94015">
        <w:rPr>
          <w:rFonts w:ascii="Arial" w:hAnsi="Arial" w:cs="Arial"/>
        </w:rPr>
      </w:r>
      <w:r w:rsidRPr="00F94015">
        <w:rPr>
          <w:rFonts w:ascii="Arial" w:hAnsi="Arial" w:cs="Arial"/>
        </w:rPr>
        <w:fldChar w:fldCharType="separate"/>
      </w:r>
      <w:r w:rsidR="00CF206F" w:rsidRPr="00F94015">
        <w:rPr>
          <w:rFonts w:ascii="Arial" w:hAnsi="Arial" w:cs="Arial"/>
        </w:rPr>
        <w:t xml:space="preserve">Figure </w:t>
      </w:r>
      <w:r w:rsidR="00CF206F" w:rsidRPr="00CF206F">
        <w:rPr>
          <w:rFonts w:ascii="Arial" w:hAnsi="Arial" w:cs="Arial"/>
          <w:noProof/>
        </w:rPr>
        <w:t>31</w:t>
      </w:r>
      <w:r w:rsidRPr="00F94015">
        <w:rPr>
          <w:rFonts w:ascii="Arial" w:hAnsi="Arial" w:cs="Arial"/>
        </w:rPr>
        <w:fldChar w:fldCharType="end"/>
      </w:r>
      <w:r w:rsidRPr="00F94015">
        <w:rPr>
          <w:rFonts w:ascii="Arial" w:hAnsi="Arial" w:cs="Arial"/>
        </w:rPr>
        <w:t xml:space="preserve"> (240 kHz SCS). The Type0-PDCCH + RMSI PDSCH are configured with 120 kHz SCS and occupy separate slots due to configuration of non-zero offset O</w:t>
      </w:r>
      <w:r w:rsidR="00E2130C" w:rsidRPr="00F94015">
        <w:rPr>
          <w:rFonts w:ascii="Arial" w:hAnsi="Arial" w:cs="Arial"/>
        </w:rPr>
        <w:t xml:space="preserve"> = 2.5</w:t>
      </w:r>
      <w:r w:rsidRPr="00F94015">
        <w:rPr>
          <w:rFonts w:ascii="Arial" w:hAnsi="Arial" w:cs="Arial"/>
        </w:rPr>
        <w:t>.</w:t>
      </w:r>
    </w:p>
    <w:p w14:paraId="2F9E5900" w14:textId="2DCF3F2C" w:rsidR="00BC72CF" w:rsidRPr="00502DE4" w:rsidRDefault="00BC72CF" w:rsidP="00F94015">
      <w:pPr>
        <w:pStyle w:val="BodyText"/>
      </w:pPr>
      <w:r>
        <w:t xml:space="preserve">As can be seen in </w:t>
      </w:r>
      <w:r w:rsidRPr="00EC0DF7">
        <w:fldChar w:fldCharType="begin"/>
      </w:r>
      <w:r>
        <w:instrText xml:space="preserve"> REF _Ref46494812 \h </w:instrText>
      </w:r>
      <w:r w:rsidR="00C15AC9">
        <w:instrText xml:space="preserve"> \* MERGEFORMAT </w:instrText>
      </w:r>
      <w:r w:rsidRPr="00EC0DF7">
        <w:fldChar w:fldCharType="separate"/>
      </w:r>
      <w:r w:rsidR="00CF206F" w:rsidRPr="00CF206F">
        <w:t xml:space="preserve">Figure </w:t>
      </w:r>
      <w:r w:rsidR="00CF206F">
        <w:rPr>
          <w:noProof/>
        </w:rPr>
        <w:t>32</w:t>
      </w:r>
      <w:r w:rsidRPr="00EC0DF7">
        <w:fldChar w:fldCharType="end"/>
      </w:r>
      <w:r>
        <w:t>, there are still 4 symbols available at the end of each slot. If L</w:t>
      </w:r>
      <w:r w:rsidRPr="006B0747">
        <w:t xml:space="preserve"> = 4 OFDM symbols x 48 PRBs is still not sufficient to carry practical RMSI payloads one beneficial enhancement would be to allow an L = 6 PDSCH starting at OFDM symbols 2 and 8 in Default SLIV Table A which would make full use of the entire slot, increasing the allowable RMSI payload by 50%. With this enhancement, the resources available for RMSI would be similar to that specified for NR-U in Rel-16.</w:t>
      </w:r>
    </w:p>
    <w:p w14:paraId="0B91CB6A" w14:textId="2B87F5CF" w:rsidR="00EF13D6" w:rsidRDefault="00EF13D6" w:rsidP="006575FB">
      <w:pPr>
        <w:pStyle w:val="BodyText"/>
      </w:pPr>
      <w:r w:rsidRPr="00EC0DF7">
        <w:fldChar w:fldCharType="begin"/>
      </w:r>
      <w:r>
        <w:instrText xml:space="preserve"> REF _Ref46494812 \h </w:instrText>
      </w:r>
      <w:r w:rsidR="00C15AC9">
        <w:instrText xml:space="preserve"> \* MERGEFORMAT </w:instrText>
      </w:r>
      <w:r w:rsidRPr="00EC0DF7">
        <w:fldChar w:fldCharType="separate"/>
      </w:r>
      <w:r w:rsidR="00CF206F" w:rsidRPr="00CF206F">
        <w:t xml:space="preserve">Figure </w:t>
      </w:r>
      <w:r w:rsidR="00CF206F">
        <w:rPr>
          <w:noProof/>
        </w:rPr>
        <w:t>32</w:t>
      </w:r>
      <w:r w:rsidRPr="00EC0DF7">
        <w:fldChar w:fldCharType="end"/>
      </w:r>
      <w:r>
        <w:t xml:space="preserve"> also </w:t>
      </w:r>
      <w:r w:rsidR="00CE004D">
        <w:t>indicates</w:t>
      </w:r>
      <w:r>
        <w:t xml:space="preserve"> that the number of 120 kHz slots required to transmit SIB1 </w:t>
      </w:r>
      <w:r w:rsidRPr="00F94015">
        <w:t xml:space="preserve">for all 64 beams is 32 (two Type0-PDCCH monitoring occasions / slot). This translates to 4 ms. While Rel-16 supports Pattern 1 with (240 kHz, 120 kHz) SCS, </w:t>
      </w:r>
      <w:r w:rsidR="00CE004D">
        <w:t>it seems straight forward to support</w:t>
      </w:r>
      <w:r w:rsidRPr="00F94015">
        <w:t xml:space="preserve"> (240 kHz, 240 kHz) </w:t>
      </w:r>
      <w:r w:rsidR="00CE004D">
        <w:t xml:space="preserve">with only minor </w:t>
      </w:r>
      <w:r w:rsidR="00AD4E63">
        <w:t>enhancements</w:t>
      </w:r>
      <w:r w:rsidRPr="00F94015">
        <w:t>. Allowing 240 kHz for Type0-PDCCH + RMSI PDSCH reduces the absolute time required to sweep up to 64 beams by 50%, and thus seems beneficial.</w:t>
      </w:r>
      <w:r w:rsidR="00AD4E63">
        <w:t xml:space="preserve"> Moreover, it allows SS/PBCH blocks and RMSI to operate with the same numerology, thus simplifying operation.</w:t>
      </w:r>
    </w:p>
    <w:p w14:paraId="3EA8627C" w14:textId="77777777" w:rsidR="006B0747" w:rsidRPr="00502DE4" w:rsidRDefault="006B0747" w:rsidP="00F94015">
      <w:pPr>
        <w:pStyle w:val="BodyText"/>
      </w:pPr>
      <w:bookmarkStart w:id="148" w:name="_Toc46497819"/>
      <w:bookmarkEnd w:id="148"/>
    </w:p>
    <w:p w14:paraId="153F0037" w14:textId="65185A15" w:rsidR="00A7566B" w:rsidRPr="00E90690" w:rsidRDefault="002D276E" w:rsidP="00F94015">
      <w:pPr>
        <w:pStyle w:val="Proposal"/>
      </w:pPr>
      <w:bookmarkStart w:id="149" w:name="_Toc46738497"/>
      <w:bookmarkStart w:id="150" w:name="_Toc46738551"/>
      <w:bookmarkStart w:id="151" w:name="_Toc46738659"/>
      <w:bookmarkStart w:id="152" w:name="_Toc46838805"/>
      <w:bookmarkStart w:id="153" w:name="_Toc46839444"/>
      <w:bookmarkStart w:id="154" w:name="_Toc46915182"/>
      <w:bookmarkStart w:id="155" w:name="_Toc47013710"/>
      <w:bookmarkStart w:id="156" w:name="_Toc47014949"/>
      <w:bookmarkStart w:id="157" w:name="_Toc47086022"/>
      <w:bookmarkStart w:id="158" w:name="_Toc47536787"/>
      <w:bookmarkStart w:id="159" w:name="_Toc47628690"/>
      <w:bookmarkStart w:id="160" w:name="_Toc47629499"/>
      <w:bookmarkStart w:id="161" w:name="_Toc47697570"/>
      <w:bookmarkStart w:id="162" w:name="_Toc47697988"/>
      <w:bookmarkStart w:id="163" w:name="_Toc47709940"/>
      <w:bookmarkStart w:id="164" w:name="_Toc47710031"/>
      <w:bookmarkStart w:id="165" w:name="_Toc46497820"/>
      <w:bookmarkStart w:id="166" w:name="_Toc46738498"/>
      <w:bookmarkStart w:id="167" w:name="_Toc46738552"/>
      <w:bookmarkStart w:id="168" w:name="_Toc46738660"/>
      <w:bookmarkStart w:id="169" w:name="_Toc46838806"/>
      <w:bookmarkStart w:id="170" w:name="_Toc46839445"/>
      <w:bookmarkStart w:id="171" w:name="_Toc46915183"/>
      <w:bookmarkStart w:id="172" w:name="_Toc47013711"/>
      <w:bookmarkStart w:id="173" w:name="_Toc47014950"/>
      <w:bookmarkStart w:id="174" w:name="_Toc47086023"/>
      <w:bookmarkStart w:id="175" w:name="_Toc47536788"/>
      <w:bookmarkStart w:id="176" w:name="_Toc47628691"/>
      <w:bookmarkStart w:id="177" w:name="_Toc47629500"/>
      <w:bookmarkStart w:id="178" w:name="_Toc47697571"/>
      <w:bookmarkStart w:id="179" w:name="_Toc47697989"/>
      <w:bookmarkStart w:id="180" w:name="_Toc47709941"/>
      <w:bookmarkStart w:id="181" w:name="_Toc47710032"/>
      <w:bookmarkStart w:id="182" w:name="_Toc46497821"/>
      <w:bookmarkStart w:id="183" w:name="_Toc46738499"/>
      <w:bookmarkStart w:id="184" w:name="_Toc46738553"/>
      <w:bookmarkStart w:id="185" w:name="_Toc46738661"/>
      <w:bookmarkStart w:id="186" w:name="_Toc46838807"/>
      <w:bookmarkStart w:id="187" w:name="_Toc46839446"/>
      <w:bookmarkStart w:id="188" w:name="_Toc46915184"/>
      <w:bookmarkStart w:id="189" w:name="_Toc47013712"/>
      <w:bookmarkStart w:id="190" w:name="_Toc47014951"/>
      <w:bookmarkStart w:id="191" w:name="_Toc47086024"/>
      <w:bookmarkStart w:id="192" w:name="_Toc47536789"/>
      <w:bookmarkStart w:id="193" w:name="_Toc47628692"/>
      <w:bookmarkStart w:id="194" w:name="_Toc47629501"/>
      <w:bookmarkStart w:id="195" w:name="_Toc47697572"/>
      <w:bookmarkStart w:id="196" w:name="_Toc47697990"/>
      <w:bookmarkStart w:id="197" w:name="_Toc47709942"/>
      <w:bookmarkStart w:id="198" w:name="_Toc47710033"/>
      <w:bookmarkStart w:id="199" w:name="_Toc46497822"/>
      <w:bookmarkStart w:id="200" w:name="_Toc46738500"/>
      <w:bookmarkStart w:id="201" w:name="_Toc46738554"/>
      <w:bookmarkStart w:id="202" w:name="_Toc46738662"/>
      <w:bookmarkStart w:id="203" w:name="_Toc46838808"/>
      <w:bookmarkStart w:id="204" w:name="_Toc46839447"/>
      <w:bookmarkStart w:id="205" w:name="_Toc46915185"/>
      <w:bookmarkStart w:id="206" w:name="_Toc47013713"/>
      <w:bookmarkStart w:id="207" w:name="_Toc47014952"/>
      <w:bookmarkStart w:id="208" w:name="_Toc47086025"/>
      <w:bookmarkStart w:id="209" w:name="_Toc47536790"/>
      <w:bookmarkStart w:id="210" w:name="_Toc47628693"/>
      <w:bookmarkStart w:id="211" w:name="_Toc47629502"/>
      <w:bookmarkStart w:id="212" w:name="_Toc47697573"/>
      <w:bookmarkStart w:id="213" w:name="_Toc47697991"/>
      <w:bookmarkStart w:id="214" w:name="_Toc47709943"/>
      <w:bookmarkStart w:id="215" w:name="_Toc47710034"/>
      <w:bookmarkStart w:id="216" w:name="_Toc46497823"/>
      <w:bookmarkStart w:id="217" w:name="_Toc46738501"/>
      <w:bookmarkStart w:id="218" w:name="_Toc46738555"/>
      <w:bookmarkStart w:id="219" w:name="_Toc46738663"/>
      <w:bookmarkStart w:id="220" w:name="_Toc46838809"/>
      <w:bookmarkStart w:id="221" w:name="_Toc46839448"/>
      <w:bookmarkStart w:id="222" w:name="_Toc46915186"/>
      <w:bookmarkStart w:id="223" w:name="_Toc47013714"/>
      <w:bookmarkStart w:id="224" w:name="_Toc47014953"/>
      <w:bookmarkStart w:id="225" w:name="_Toc47086026"/>
      <w:bookmarkStart w:id="226" w:name="_Toc47536791"/>
      <w:bookmarkStart w:id="227" w:name="_Toc47628694"/>
      <w:bookmarkStart w:id="228" w:name="_Toc47629503"/>
      <w:bookmarkStart w:id="229" w:name="_Toc47697574"/>
      <w:bookmarkStart w:id="230" w:name="_Toc47697992"/>
      <w:bookmarkStart w:id="231" w:name="_Toc47709944"/>
      <w:bookmarkStart w:id="232" w:name="_Toc47710035"/>
      <w:bookmarkStart w:id="233" w:name="_Toc46497824"/>
      <w:bookmarkStart w:id="234" w:name="_Toc46738502"/>
      <w:bookmarkStart w:id="235" w:name="_Toc46738556"/>
      <w:bookmarkStart w:id="236" w:name="_Toc46738664"/>
      <w:bookmarkStart w:id="237" w:name="_Toc46838810"/>
      <w:bookmarkStart w:id="238" w:name="_Toc46839449"/>
      <w:bookmarkStart w:id="239" w:name="_Toc46915187"/>
      <w:bookmarkStart w:id="240" w:name="_Toc47013715"/>
      <w:bookmarkStart w:id="241" w:name="_Toc47014954"/>
      <w:bookmarkStart w:id="242" w:name="_Toc47086027"/>
      <w:bookmarkStart w:id="243" w:name="_Toc47536792"/>
      <w:bookmarkStart w:id="244" w:name="_Toc47628695"/>
      <w:bookmarkStart w:id="245" w:name="_Toc47629504"/>
      <w:bookmarkStart w:id="246" w:name="_Toc47697575"/>
      <w:bookmarkStart w:id="247" w:name="_Toc47697993"/>
      <w:bookmarkStart w:id="248" w:name="_Toc47709945"/>
      <w:bookmarkStart w:id="249" w:name="_Toc47710036"/>
      <w:bookmarkStart w:id="250" w:name="_Toc46497825"/>
      <w:bookmarkStart w:id="251" w:name="_Toc46738503"/>
      <w:bookmarkStart w:id="252" w:name="_Toc46738557"/>
      <w:bookmarkStart w:id="253" w:name="_Toc46738665"/>
      <w:bookmarkStart w:id="254" w:name="_Toc46838811"/>
      <w:bookmarkStart w:id="255" w:name="_Toc46839450"/>
      <w:bookmarkStart w:id="256" w:name="_Toc46915188"/>
      <w:bookmarkStart w:id="257" w:name="_Toc47013716"/>
      <w:bookmarkStart w:id="258" w:name="_Toc47014955"/>
      <w:bookmarkStart w:id="259" w:name="_Toc47086028"/>
      <w:bookmarkStart w:id="260" w:name="_Toc47536793"/>
      <w:bookmarkStart w:id="261" w:name="_Toc47628696"/>
      <w:bookmarkStart w:id="262" w:name="_Toc47629505"/>
      <w:bookmarkStart w:id="263" w:name="_Toc47697576"/>
      <w:bookmarkStart w:id="264" w:name="_Toc47697994"/>
      <w:bookmarkStart w:id="265" w:name="_Toc47709946"/>
      <w:bookmarkStart w:id="266" w:name="_Toc47710037"/>
      <w:bookmarkStart w:id="267" w:name="_Toc46497826"/>
      <w:bookmarkStart w:id="268" w:name="_Toc46738504"/>
      <w:bookmarkStart w:id="269" w:name="_Toc46738558"/>
      <w:bookmarkStart w:id="270" w:name="_Toc46738666"/>
      <w:bookmarkStart w:id="271" w:name="_Toc46838812"/>
      <w:bookmarkStart w:id="272" w:name="_Toc46839451"/>
      <w:bookmarkStart w:id="273" w:name="_Toc46915189"/>
      <w:bookmarkStart w:id="274" w:name="_Toc47013717"/>
      <w:bookmarkStart w:id="275" w:name="_Toc47014956"/>
      <w:bookmarkStart w:id="276" w:name="_Toc47086029"/>
      <w:bookmarkStart w:id="277" w:name="_Toc47536794"/>
      <w:bookmarkStart w:id="278" w:name="_Toc47628697"/>
      <w:bookmarkStart w:id="279" w:name="_Toc47629506"/>
      <w:bookmarkStart w:id="280" w:name="_Toc47697577"/>
      <w:bookmarkStart w:id="281" w:name="_Toc47697995"/>
      <w:bookmarkStart w:id="282" w:name="_Toc47709947"/>
      <w:bookmarkStart w:id="283" w:name="_Toc47710038"/>
      <w:bookmarkStart w:id="284" w:name="_Toc46497827"/>
      <w:bookmarkStart w:id="285" w:name="_Toc46738505"/>
      <w:bookmarkStart w:id="286" w:name="_Toc46738559"/>
      <w:bookmarkStart w:id="287" w:name="_Toc46738667"/>
      <w:bookmarkStart w:id="288" w:name="_Toc46838813"/>
      <w:bookmarkStart w:id="289" w:name="_Toc46839452"/>
      <w:bookmarkStart w:id="290" w:name="_Toc46915190"/>
      <w:bookmarkStart w:id="291" w:name="_Toc47013718"/>
      <w:bookmarkStart w:id="292" w:name="_Toc47014957"/>
      <w:bookmarkStart w:id="293" w:name="_Toc47086030"/>
      <w:bookmarkStart w:id="294" w:name="_Toc47536795"/>
      <w:bookmarkStart w:id="295" w:name="_Toc47628698"/>
      <w:bookmarkStart w:id="296" w:name="_Toc47629507"/>
      <w:bookmarkStart w:id="297" w:name="_Toc47697578"/>
      <w:bookmarkStart w:id="298" w:name="_Toc47697996"/>
      <w:bookmarkStart w:id="299" w:name="_Toc47709948"/>
      <w:bookmarkStart w:id="300" w:name="_Toc47710039"/>
      <w:bookmarkStart w:id="301" w:name="_Toc46497828"/>
      <w:bookmarkStart w:id="302" w:name="_Toc46738506"/>
      <w:bookmarkStart w:id="303" w:name="_Toc46738560"/>
      <w:bookmarkStart w:id="304" w:name="_Toc46738668"/>
      <w:bookmarkStart w:id="305" w:name="_Toc46838814"/>
      <w:bookmarkStart w:id="306" w:name="_Toc46839453"/>
      <w:bookmarkStart w:id="307" w:name="_Toc46915191"/>
      <w:bookmarkStart w:id="308" w:name="_Toc47013719"/>
      <w:bookmarkStart w:id="309" w:name="_Toc47014958"/>
      <w:bookmarkStart w:id="310" w:name="_Toc47086031"/>
      <w:bookmarkStart w:id="311" w:name="_Toc47536796"/>
      <w:bookmarkStart w:id="312" w:name="_Toc47628699"/>
      <w:bookmarkStart w:id="313" w:name="_Toc47629508"/>
      <w:bookmarkStart w:id="314" w:name="_Toc47697579"/>
      <w:bookmarkStart w:id="315" w:name="_Toc47697997"/>
      <w:bookmarkStart w:id="316" w:name="_Toc47709949"/>
      <w:bookmarkStart w:id="317" w:name="_Toc47710040"/>
      <w:bookmarkStart w:id="318" w:name="_Toc46497829"/>
      <w:bookmarkStart w:id="319" w:name="_Toc46738507"/>
      <w:bookmarkStart w:id="320" w:name="_Toc46738561"/>
      <w:bookmarkStart w:id="321" w:name="_Toc46738669"/>
      <w:bookmarkStart w:id="322" w:name="_Toc46838815"/>
      <w:bookmarkStart w:id="323" w:name="_Toc46839454"/>
      <w:bookmarkStart w:id="324" w:name="_Toc46915192"/>
      <w:bookmarkStart w:id="325" w:name="_Toc47013720"/>
      <w:bookmarkStart w:id="326" w:name="_Toc47014959"/>
      <w:bookmarkStart w:id="327" w:name="_Toc47086032"/>
      <w:bookmarkStart w:id="328" w:name="_Toc47536797"/>
      <w:bookmarkStart w:id="329" w:name="_Toc47628700"/>
      <w:bookmarkStart w:id="330" w:name="_Toc47629509"/>
      <w:bookmarkStart w:id="331" w:name="_Toc47697580"/>
      <w:bookmarkStart w:id="332" w:name="_Toc47697998"/>
      <w:bookmarkStart w:id="333" w:name="_Toc47709950"/>
      <w:bookmarkStart w:id="334" w:name="_Toc47710041"/>
      <w:bookmarkStart w:id="335" w:name="_Toc46497830"/>
      <w:bookmarkStart w:id="336" w:name="_Toc46738508"/>
      <w:bookmarkStart w:id="337" w:name="_Toc46738562"/>
      <w:bookmarkStart w:id="338" w:name="_Toc46738670"/>
      <w:bookmarkStart w:id="339" w:name="_Toc46838816"/>
      <w:bookmarkStart w:id="340" w:name="_Toc46839455"/>
      <w:bookmarkStart w:id="341" w:name="_Toc46915193"/>
      <w:bookmarkStart w:id="342" w:name="_Toc47013721"/>
      <w:bookmarkStart w:id="343" w:name="_Toc47014960"/>
      <w:bookmarkStart w:id="344" w:name="_Toc47086033"/>
      <w:bookmarkStart w:id="345" w:name="_Toc47536798"/>
      <w:bookmarkStart w:id="346" w:name="_Toc47628701"/>
      <w:bookmarkStart w:id="347" w:name="_Toc47629510"/>
      <w:bookmarkStart w:id="348" w:name="_Toc47697581"/>
      <w:bookmarkStart w:id="349" w:name="_Toc47697999"/>
      <w:bookmarkStart w:id="350" w:name="_Toc47709951"/>
      <w:bookmarkStart w:id="351" w:name="_Toc47710042"/>
      <w:bookmarkStart w:id="352" w:name="_Toc46497831"/>
      <w:bookmarkStart w:id="353" w:name="_Toc46738509"/>
      <w:bookmarkStart w:id="354" w:name="_Toc46738563"/>
      <w:bookmarkStart w:id="355" w:name="_Toc46738671"/>
      <w:bookmarkStart w:id="356" w:name="_Toc46838817"/>
      <w:bookmarkStart w:id="357" w:name="_Toc46839456"/>
      <w:bookmarkStart w:id="358" w:name="_Toc46915194"/>
      <w:bookmarkStart w:id="359" w:name="_Toc47013722"/>
      <w:bookmarkStart w:id="360" w:name="_Toc47014961"/>
      <w:bookmarkStart w:id="361" w:name="_Toc47086034"/>
      <w:bookmarkStart w:id="362" w:name="_Toc47536799"/>
      <w:bookmarkStart w:id="363" w:name="_Toc47628702"/>
      <w:bookmarkStart w:id="364" w:name="_Toc47629511"/>
      <w:bookmarkStart w:id="365" w:name="_Toc47697582"/>
      <w:bookmarkStart w:id="366" w:name="_Toc47698000"/>
      <w:bookmarkStart w:id="367" w:name="_Toc47709952"/>
      <w:bookmarkStart w:id="368" w:name="_Toc47710043"/>
      <w:bookmarkStart w:id="369" w:name="_Toc46497832"/>
      <w:bookmarkStart w:id="370" w:name="_Toc46738510"/>
      <w:bookmarkStart w:id="371" w:name="_Toc46738564"/>
      <w:bookmarkStart w:id="372" w:name="_Toc46738672"/>
      <w:bookmarkStart w:id="373" w:name="_Toc46838818"/>
      <w:bookmarkStart w:id="374" w:name="_Toc46839457"/>
      <w:bookmarkStart w:id="375" w:name="_Toc46915195"/>
      <w:bookmarkStart w:id="376" w:name="_Toc47013723"/>
      <w:bookmarkStart w:id="377" w:name="_Toc47014962"/>
      <w:bookmarkStart w:id="378" w:name="_Toc47086035"/>
      <w:bookmarkStart w:id="379" w:name="_Toc47536800"/>
      <w:bookmarkStart w:id="380" w:name="_Toc47628703"/>
      <w:bookmarkStart w:id="381" w:name="_Toc47629512"/>
      <w:bookmarkStart w:id="382" w:name="_Toc47697583"/>
      <w:bookmarkStart w:id="383" w:name="_Toc47698001"/>
      <w:bookmarkStart w:id="384" w:name="_Toc47709953"/>
      <w:bookmarkStart w:id="385" w:name="_Toc47710044"/>
      <w:bookmarkStart w:id="386" w:name="_Toc46497833"/>
      <w:bookmarkStart w:id="387" w:name="_Toc46738511"/>
      <w:bookmarkStart w:id="388" w:name="_Toc46738565"/>
      <w:bookmarkStart w:id="389" w:name="_Toc46738673"/>
      <w:bookmarkStart w:id="390" w:name="_Toc46838819"/>
      <w:bookmarkStart w:id="391" w:name="_Toc46839458"/>
      <w:bookmarkStart w:id="392" w:name="_Toc46915196"/>
      <w:bookmarkStart w:id="393" w:name="_Toc47013724"/>
      <w:bookmarkStart w:id="394" w:name="_Toc47014963"/>
      <w:bookmarkStart w:id="395" w:name="_Toc47086036"/>
      <w:bookmarkStart w:id="396" w:name="_Toc47536801"/>
      <w:bookmarkStart w:id="397" w:name="_Toc47628704"/>
      <w:bookmarkStart w:id="398" w:name="_Toc47629513"/>
      <w:bookmarkStart w:id="399" w:name="_Toc47697584"/>
      <w:bookmarkStart w:id="400" w:name="_Toc47698002"/>
      <w:bookmarkStart w:id="401" w:name="_Toc47709954"/>
      <w:bookmarkStart w:id="402" w:name="_Toc47710045"/>
      <w:bookmarkStart w:id="403" w:name="_Toc46497834"/>
      <w:bookmarkStart w:id="404" w:name="_Toc46738512"/>
      <w:bookmarkStart w:id="405" w:name="_Toc46738566"/>
      <w:bookmarkStart w:id="406" w:name="_Toc46738674"/>
      <w:bookmarkStart w:id="407" w:name="_Toc46838820"/>
      <w:bookmarkStart w:id="408" w:name="_Toc46839459"/>
      <w:bookmarkStart w:id="409" w:name="_Toc46915197"/>
      <w:bookmarkStart w:id="410" w:name="_Toc47013725"/>
      <w:bookmarkStart w:id="411" w:name="_Toc47014964"/>
      <w:bookmarkStart w:id="412" w:name="_Toc47086037"/>
      <w:bookmarkStart w:id="413" w:name="_Toc47536802"/>
      <w:bookmarkStart w:id="414" w:name="_Toc47628705"/>
      <w:bookmarkStart w:id="415" w:name="_Toc47629514"/>
      <w:bookmarkStart w:id="416" w:name="_Toc47697585"/>
      <w:bookmarkStart w:id="417" w:name="_Toc47698003"/>
      <w:bookmarkStart w:id="418" w:name="_Toc47709955"/>
      <w:bookmarkStart w:id="419" w:name="_Toc47710046"/>
      <w:bookmarkStart w:id="420" w:name="_Toc46497835"/>
      <w:bookmarkStart w:id="421" w:name="_Toc46738513"/>
      <w:bookmarkStart w:id="422" w:name="_Toc46738567"/>
      <w:bookmarkStart w:id="423" w:name="_Toc46738675"/>
      <w:bookmarkStart w:id="424" w:name="_Toc46838821"/>
      <w:bookmarkStart w:id="425" w:name="_Toc46839460"/>
      <w:bookmarkStart w:id="426" w:name="_Toc46915198"/>
      <w:bookmarkStart w:id="427" w:name="_Toc47013726"/>
      <w:bookmarkStart w:id="428" w:name="_Toc47014965"/>
      <w:bookmarkStart w:id="429" w:name="_Toc47086038"/>
      <w:bookmarkStart w:id="430" w:name="_Toc47536803"/>
      <w:bookmarkStart w:id="431" w:name="_Toc47628706"/>
      <w:bookmarkStart w:id="432" w:name="_Toc47629515"/>
      <w:bookmarkStart w:id="433" w:name="_Toc47697586"/>
      <w:bookmarkStart w:id="434" w:name="_Toc47698004"/>
      <w:bookmarkStart w:id="435" w:name="_Toc47709956"/>
      <w:bookmarkStart w:id="436" w:name="_Toc47710047"/>
      <w:bookmarkStart w:id="437" w:name="_Toc46497836"/>
      <w:bookmarkStart w:id="438" w:name="_Toc46738514"/>
      <w:bookmarkStart w:id="439" w:name="_Toc46738568"/>
      <w:bookmarkStart w:id="440" w:name="_Toc46738676"/>
      <w:bookmarkStart w:id="441" w:name="_Toc46838822"/>
      <w:bookmarkStart w:id="442" w:name="_Toc46839461"/>
      <w:bookmarkStart w:id="443" w:name="_Toc46915199"/>
      <w:bookmarkStart w:id="444" w:name="_Toc47013727"/>
      <w:bookmarkStart w:id="445" w:name="_Toc47014966"/>
      <w:bookmarkStart w:id="446" w:name="_Toc47086039"/>
      <w:bookmarkStart w:id="447" w:name="_Toc47536804"/>
      <w:bookmarkStart w:id="448" w:name="_Toc47628707"/>
      <w:bookmarkStart w:id="449" w:name="_Toc47629516"/>
      <w:bookmarkStart w:id="450" w:name="_Toc47697587"/>
      <w:bookmarkStart w:id="451" w:name="_Toc47698005"/>
      <w:bookmarkStart w:id="452" w:name="_Toc47709957"/>
      <w:bookmarkStart w:id="453" w:name="_Toc47710048"/>
      <w:bookmarkStart w:id="454" w:name="_Toc46497837"/>
      <w:bookmarkStart w:id="455" w:name="_Toc46738515"/>
      <w:bookmarkStart w:id="456" w:name="_Toc46738569"/>
      <w:bookmarkStart w:id="457" w:name="_Toc46738677"/>
      <w:bookmarkStart w:id="458" w:name="_Toc46838823"/>
      <w:bookmarkStart w:id="459" w:name="_Toc46839462"/>
      <w:bookmarkStart w:id="460" w:name="_Toc46915200"/>
      <w:bookmarkStart w:id="461" w:name="_Toc47013728"/>
      <w:bookmarkStart w:id="462" w:name="_Toc47014967"/>
      <w:bookmarkStart w:id="463" w:name="_Toc47086040"/>
      <w:bookmarkStart w:id="464" w:name="_Toc47536805"/>
      <w:bookmarkStart w:id="465" w:name="_Toc47628708"/>
      <w:bookmarkStart w:id="466" w:name="_Toc47629517"/>
      <w:bookmarkStart w:id="467" w:name="_Toc47697588"/>
      <w:bookmarkStart w:id="468" w:name="_Toc47698006"/>
      <w:bookmarkStart w:id="469" w:name="_Toc47709958"/>
      <w:bookmarkStart w:id="470" w:name="_Toc47710049"/>
      <w:bookmarkStart w:id="471" w:name="_Toc46497838"/>
      <w:bookmarkStart w:id="472" w:name="_Toc46738516"/>
      <w:bookmarkStart w:id="473" w:name="_Toc46738570"/>
      <w:bookmarkStart w:id="474" w:name="_Toc46738678"/>
      <w:bookmarkStart w:id="475" w:name="_Toc46838824"/>
      <w:bookmarkStart w:id="476" w:name="_Toc46839463"/>
      <w:bookmarkStart w:id="477" w:name="_Toc46915201"/>
      <w:bookmarkStart w:id="478" w:name="_Toc47013729"/>
      <w:bookmarkStart w:id="479" w:name="_Toc47014968"/>
      <w:bookmarkStart w:id="480" w:name="_Toc47086041"/>
      <w:bookmarkStart w:id="481" w:name="_Toc47536806"/>
      <w:bookmarkStart w:id="482" w:name="_Toc47628709"/>
      <w:bookmarkStart w:id="483" w:name="_Toc47629518"/>
      <w:bookmarkStart w:id="484" w:name="_Toc47697589"/>
      <w:bookmarkStart w:id="485" w:name="_Toc47698007"/>
      <w:bookmarkStart w:id="486" w:name="_Toc47709959"/>
      <w:bookmarkStart w:id="487" w:name="_Toc47710050"/>
      <w:bookmarkStart w:id="488" w:name="_Toc46497839"/>
      <w:bookmarkStart w:id="489" w:name="_Toc46738517"/>
      <w:bookmarkStart w:id="490" w:name="_Toc46738571"/>
      <w:bookmarkStart w:id="491" w:name="_Toc46738679"/>
      <w:bookmarkStart w:id="492" w:name="_Toc46838825"/>
      <w:bookmarkStart w:id="493" w:name="_Toc46839464"/>
      <w:bookmarkStart w:id="494" w:name="_Toc46915202"/>
      <w:bookmarkStart w:id="495" w:name="_Toc47013730"/>
      <w:bookmarkStart w:id="496" w:name="_Toc47014969"/>
      <w:bookmarkStart w:id="497" w:name="_Toc47086042"/>
      <w:bookmarkStart w:id="498" w:name="_Toc47536807"/>
      <w:bookmarkStart w:id="499" w:name="_Toc47628710"/>
      <w:bookmarkStart w:id="500" w:name="_Toc47629519"/>
      <w:bookmarkStart w:id="501" w:name="_Toc47697590"/>
      <w:bookmarkStart w:id="502" w:name="_Toc47698008"/>
      <w:bookmarkStart w:id="503" w:name="_Toc47709960"/>
      <w:bookmarkStart w:id="504" w:name="_Toc47710051"/>
      <w:bookmarkStart w:id="505" w:name="_Toc46497840"/>
      <w:bookmarkStart w:id="506" w:name="_Toc46738518"/>
      <w:bookmarkStart w:id="507" w:name="_Toc46738572"/>
      <w:bookmarkStart w:id="508" w:name="_Toc46738680"/>
      <w:bookmarkStart w:id="509" w:name="_Toc46838826"/>
      <w:bookmarkStart w:id="510" w:name="_Toc46839465"/>
      <w:bookmarkStart w:id="511" w:name="_Toc46915203"/>
      <w:bookmarkStart w:id="512" w:name="_Toc47013731"/>
      <w:bookmarkStart w:id="513" w:name="_Toc47014970"/>
      <w:bookmarkStart w:id="514" w:name="_Toc47086043"/>
      <w:bookmarkStart w:id="515" w:name="_Toc47536808"/>
      <w:bookmarkStart w:id="516" w:name="_Toc47628711"/>
      <w:bookmarkStart w:id="517" w:name="_Toc47629520"/>
      <w:bookmarkStart w:id="518" w:name="_Toc47697591"/>
      <w:bookmarkStart w:id="519" w:name="_Toc47698009"/>
      <w:bookmarkStart w:id="520" w:name="_Toc47709961"/>
      <w:bookmarkStart w:id="521" w:name="_Toc47710052"/>
      <w:bookmarkStart w:id="522" w:name="_Toc46497841"/>
      <w:bookmarkStart w:id="523" w:name="_Toc46738519"/>
      <w:bookmarkStart w:id="524" w:name="_Toc46738573"/>
      <w:bookmarkStart w:id="525" w:name="_Toc46738681"/>
      <w:bookmarkStart w:id="526" w:name="_Toc46838827"/>
      <w:bookmarkStart w:id="527" w:name="_Toc46839466"/>
      <w:bookmarkStart w:id="528" w:name="_Toc46915204"/>
      <w:bookmarkStart w:id="529" w:name="_Toc47013732"/>
      <w:bookmarkStart w:id="530" w:name="_Toc47014971"/>
      <w:bookmarkStart w:id="531" w:name="_Toc47086044"/>
      <w:bookmarkStart w:id="532" w:name="_Toc47536809"/>
      <w:bookmarkStart w:id="533" w:name="_Toc47628712"/>
      <w:bookmarkStart w:id="534" w:name="_Toc47629521"/>
      <w:bookmarkStart w:id="535" w:name="_Toc47697592"/>
      <w:bookmarkStart w:id="536" w:name="_Toc47698010"/>
      <w:bookmarkStart w:id="537" w:name="_Toc47709962"/>
      <w:bookmarkStart w:id="538" w:name="_Toc47710053"/>
      <w:bookmarkStart w:id="539" w:name="_Toc47712045"/>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t>Consider e</w:t>
      </w:r>
      <w:r w:rsidR="00A7566B" w:rsidRPr="0035235B">
        <w:t>nhance</w:t>
      </w:r>
      <w:r>
        <w:t>ments to</w:t>
      </w:r>
      <w:r w:rsidR="00A7566B" w:rsidRPr="0035235B">
        <w:t xml:space="preserve"> SS/PBCH / CORESET0 multiplexing </w:t>
      </w:r>
      <w:r>
        <w:t>P</w:t>
      </w:r>
      <w:r w:rsidR="00A7566B" w:rsidRPr="0035235B">
        <w:t xml:space="preserve">attern 1 as follows: (1) Allow (240 kHz, 240 kHz) </w:t>
      </w:r>
      <w:r w:rsidR="003157F2" w:rsidRPr="0035235B">
        <w:t xml:space="preserve">SCS, and (2) Support 6 symbol SLIV in </w:t>
      </w:r>
      <w:r>
        <w:t>D</w:t>
      </w:r>
      <w:r w:rsidR="003157F2" w:rsidRPr="0035235B">
        <w:t>efault</w:t>
      </w:r>
      <w:r>
        <w:t xml:space="preserve"> T</w:t>
      </w:r>
      <w:r w:rsidR="003157F2" w:rsidRPr="0035235B">
        <w:t>able A starting at OFDM symbols 2 and 8.</w:t>
      </w:r>
      <w:bookmarkEnd w:id="539"/>
    </w:p>
    <w:p w14:paraId="74D28C90" w14:textId="77777777" w:rsidR="00E219C5" w:rsidRPr="0035235B" w:rsidRDefault="00E219C5" w:rsidP="00F94015">
      <w:pPr>
        <w:pStyle w:val="BodyText"/>
      </w:pPr>
    </w:p>
    <w:p w14:paraId="525970CF" w14:textId="6249E397" w:rsidR="00680E5B" w:rsidRDefault="007C3789" w:rsidP="00680E5B">
      <w:pPr>
        <w:pStyle w:val="Heading2"/>
      </w:pPr>
      <w:bookmarkStart w:id="540" w:name="_Toc46307404"/>
      <w:bookmarkStart w:id="541" w:name="_Toc47530181"/>
      <w:bookmarkEnd w:id="140"/>
      <w:r>
        <w:t>4</w:t>
      </w:r>
      <w:r w:rsidR="00680E5B">
        <w:t>.</w:t>
      </w:r>
      <w:r w:rsidR="00BD5CCB">
        <w:t>2</w:t>
      </w:r>
      <w:r w:rsidR="00680E5B">
        <w:tab/>
        <w:t>UL signals and channels</w:t>
      </w:r>
      <w:bookmarkEnd w:id="540"/>
      <w:bookmarkEnd w:id="541"/>
    </w:p>
    <w:p w14:paraId="5AED1C40" w14:textId="45C0B1AC" w:rsidR="002E7813" w:rsidRDefault="001C3202" w:rsidP="00111FAE">
      <w:pPr>
        <w:pStyle w:val="BodyText"/>
      </w:pPr>
      <w:r>
        <w:t>To facilitate coexistence between nodes in unlicensed spectrum, many regulations put requirements on EIRP limits, or PSD requirement</w:t>
      </w:r>
      <w:r w:rsidR="00BD75BB">
        <w:t>s</w:t>
      </w:r>
      <w:r>
        <w:t xml:space="preserve">. These regulations are different from one region to another. Below we list requirements for some of the regions: </w:t>
      </w:r>
    </w:p>
    <w:p w14:paraId="69EF686E" w14:textId="4B825503" w:rsidR="001C3202" w:rsidRDefault="002E7813" w:rsidP="00111FAE">
      <w:pPr>
        <w:pStyle w:val="Caption"/>
        <w:rPr>
          <w:rFonts w:ascii="Arial" w:hAnsi="Arial" w:cs="Arial"/>
        </w:rPr>
      </w:pPr>
      <w:bookmarkStart w:id="542" w:name="_Ref46247202"/>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CF206F">
        <w:rPr>
          <w:rFonts w:ascii="Arial" w:hAnsi="Arial" w:cs="Arial"/>
          <w:noProof/>
        </w:rPr>
        <w:t>2</w:t>
      </w:r>
      <w:r w:rsidRPr="00A81070">
        <w:rPr>
          <w:rFonts w:ascii="Arial" w:hAnsi="Arial" w:cs="Arial"/>
        </w:rPr>
        <w:fldChar w:fldCharType="end"/>
      </w:r>
      <w:bookmarkEnd w:id="542"/>
      <w:r w:rsidRPr="00A81070">
        <w:rPr>
          <w:rFonts w:ascii="Arial" w:hAnsi="Arial" w:cs="Arial"/>
        </w:rPr>
        <w:t>: FCC and CEPT regulatory requirements for frequency between 57GHz and 71GHz that are available for fixed and mobile use</w:t>
      </w:r>
    </w:p>
    <w:tbl>
      <w:tblPr>
        <w:tblStyle w:val="TableGrid"/>
        <w:tblW w:w="0" w:type="auto"/>
        <w:tblLook w:val="04A0" w:firstRow="1" w:lastRow="0" w:firstColumn="1" w:lastColumn="0" w:noHBand="0" w:noVBand="1"/>
      </w:tblPr>
      <w:tblGrid>
        <w:gridCol w:w="1247"/>
        <w:gridCol w:w="636"/>
        <w:gridCol w:w="716"/>
        <w:gridCol w:w="1317"/>
        <w:gridCol w:w="2394"/>
        <w:gridCol w:w="1349"/>
        <w:gridCol w:w="1970"/>
      </w:tblGrid>
      <w:tr w:rsidR="001A3B77" w:rsidRPr="008747F8" w14:paraId="213B8AAD" w14:textId="77777777" w:rsidTr="00B10322">
        <w:trPr>
          <w:trHeight w:val="674"/>
        </w:trPr>
        <w:tc>
          <w:tcPr>
            <w:tcW w:w="1247" w:type="dxa"/>
          </w:tcPr>
          <w:p w14:paraId="3C7B2BB3" w14:textId="77777777" w:rsidR="001A3B77" w:rsidRPr="00111FAE" w:rsidRDefault="001A3B77" w:rsidP="00B10322">
            <w:pPr>
              <w:pStyle w:val="BodyText"/>
              <w:jc w:val="left"/>
              <w:rPr>
                <w:b/>
                <w:sz w:val="18"/>
                <w:lang w:val="en-US"/>
              </w:rPr>
            </w:pPr>
            <w:r w:rsidRPr="008747F8">
              <w:rPr>
                <w:b/>
                <w:sz w:val="18"/>
              </w:rPr>
              <w:t xml:space="preserve">Regulations </w:t>
            </w:r>
          </w:p>
        </w:tc>
        <w:tc>
          <w:tcPr>
            <w:tcW w:w="1358" w:type="dxa"/>
            <w:gridSpan w:val="2"/>
          </w:tcPr>
          <w:p w14:paraId="5C48548F" w14:textId="77777777" w:rsidR="001A3B77" w:rsidRPr="00111FAE" w:rsidRDefault="001A3B77" w:rsidP="00B10322">
            <w:pPr>
              <w:pStyle w:val="BodyText"/>
              <w:jc w:val="left"/>
              <w:rPr>
                <w:b/>
                <w:sz w:val="18"/>
                <w:lang w:val="en-US"/>
              </w:rPr>
            </w:pPr>
            <w:r w:rsidRPr="008747F8">
              <w:rPr>
                <w:b/>
                <w:sz w:val="18"/>
              </w:rPr>
              <w:t>Frequency Band [</w:t>
            </w:r>
            <w:r w:rsidRPr="00111FAE">
              <w:rPr>
                <w:rFonts w:cs="Arial"/>
                <w:b/>
                <w:sz w:val="18"/>
              </w:rPr>
              <w:t>GHz</w:t>
            </w:r>
            <w:r w:rsidRPr="008747F8">
              <w:rPr>
                <w:b/>
                <w:sz w:val="18"/>
              </w:rPr>
              <w:t>]</w:t>
            </w:r>
          </w:p>
        </w:tc>
        <w:tc>
          <w:tcPr>
            <w:tcW w:w="1260" w:type="dxa"/>
            <w:shd w:val="clear" w:color="auto" w:fill="auto"/>
          </w:tcPr>
          <w:p w14:paraId="5DE0C651" w14:textId="77777777" w:rsidR="001A3B77" w:rsidRPr="00111FAE" w:rsidRDefault="001A3B77" w:rsidP="00B10322">
            <w:pPr>
              <w:pStyle w:val="BodyText"/>
              <w:jc w:val="left"/>
              <w:rPr>
                <w:b/>
                <w:sz w:val="18"/>
                <w:lang w:val="en-US"/>
              </w:rPr>
            </w:pPr>
            <w:r w:rsidRPr="008747F8">
              <w:rPr>
                <w:b/>
                <w:sz w:val="18"/>
              </w:rPr>
              <w:t>PSD</w:t>
            </w:r>
          </w:p>
        </w:tc>
        <w:tc>
          <w:tcPr>
            <w:tcW w:w="2430" w:type="dxa"/>
          </w:tcPr>
          <w:p w14:paraId="1324FF80" w14:textId="77777777" w:rsidR="001A3B77" w:rsidRPr="00111FAE" w:rsidRDefault="001A3B77" w:rsidP="00B10322">
            <w:pPr>
              <w:pStyle w:val="BodyText"/>
              <w:jc w:val="left"/>
              <w:rPr>
                <w:b/>
                <w:sz w:val="18"/>
                <w:lang w:val="en-US"/>
              </w:rPr>
            </w:pPr>
            <w:r w:rsidRPr="008747F8">
              <w:rPr>
                <w:b/>
                <w:sz w:val="18"/>
              </w:rPr>
              <w:t>EIRP</w:t>
            </w:r>
          </w:p>
        </w:tc>
        <w:tc>
          <w:tcPr>
            <w:tcW w:w="1350" w:type="dxa"/>
          </w:tcPr>
          <w:p w14:paraId="0D6A7E76" w14:textId="77777777" w:rsidR="001A3B77" w:rsidRPr="00111FAE" w:rsidRDefault="001A3B77" w:rsidP="00B10322">
            <w:pPr>
              <w:pStyle w:val="BodyText"/>
              <w:jc w:val="left"/>
              <w:rPr>
                <w:b/>
                <w:sz w:val="18"/>
                <w:lang w:val="en-US"/>
              </w:rPr>
            </w:pPr>
            <w:r>
              <w:rPr>
                <w:b/>
                <w:sz w:val="18"/>
              </w:rPr>
              <w:t>M</w:t>
            </w:r>
            <w:r w:rsidRPr="008747F8">
              <w:rPr>
                <w:b/>
                <w:sz w:val="18"/>
              </w:rPr>
              <w:t>aximum occupied bandwidth</w:t>
            </w:r>
          </w:p>
        </w:tc>
        <w:tc>
          <w:tcPr>
            <w:tcW w:w="1984" w:type="dxa"/>
          </w:tcPr>
          <w:p w14:paraId="498227BE" w14:textId="77777777" w:rsidR="001A3B77" w:rsidRPr="00111FAE" w:rsidRDefault="001A3B77" w:rsidP="00B10322">
            <w:pPr>
              <w:pStyle w:val="BodyText"/>
              <w:jc w:val="left"/>
              <w:rPr>
                <w:b/>
                <w:sz w:val="18"/>
                <w:lang w:val="en-US"/>
              </w:rPr>
            </w:pPr>
            <w:r w:rsidRPr="00B9506E">
              <w:rPr>
                <w:rFonts w:cs="Arial"/>
                <w:b/>
                <w:sz w:val="18"/>
                <w:szCs w:val="18"/>
              </w:rPr>
              <w:t>Purpose/Node Placement requirements</w:t>
            </w:r>
          </w:p>
        </w:tc>
      </w:tr>
      <w:tr w:rsidR="001A3B77" w:rsidRPr="008747F8" w14:paraId="7CD34CCE" w14:textId="77777777" w:rsidTr="00B10322">
        <w:trPr>
          <w:trHeight w:val="251"/>
        </w:trPr>
        <w:tc>
          <w:tcPr>
            <w:tcW w:w="1247" w:type="dxa"/>
            <w:vMerge w:val="restart"/>
          </w:tcPr>
          <w:p w14:paraId="0443E2D9"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CEPT</w:t>
            </w:r>
          </w:p>
        </w:tc>
        <w:tc>
          <w:tcPr>
            <w:tcW w:w="638" w:type="dxa"/>
          </w:tcPr>
          <w:p w14:paraId="3B6243B3"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c1</w:t>
            </w:r>
          </w:p>
        </w:tc>
        <w:tc>
          <w:tcPr>
            <w:tcW w:w="720" w:type="dxa"/>
          </w:tcPr>
          <w:p w14:paraId="43CBEB97"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57-71 </w:t>
            </w:r>
          </w:p>
        </w:tc>
        <w:tc>
          <w:tcPr>
            <w:tcW w:w="1260" w:type="dxa"/>
            <w:shd w:val="clear" w:color="auto" w:fill="auto"/>
          </w:tcPr>
          <w:p w14:paraId="0119D73A"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23 dBm/MHz </w:t>
            </w:r>
          </w:p>
        </w:tc>
        <w:tc>
          <w:tcPr>
            <w:tcW w:w="2430" w:type="dxa"/>
          </w:tcPr>
          <w:p w14:paraId="5762779A"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40 dBm</w:t>
            </w:r>
          </w:p>
        </w:tc>
        <w:tc>
          <w:tcPr>
            <w:tcW w:w="1350" w:type="dxa"/>
            <w:vMerge w:val="restart"/>
          </w:tcPr>
          <w:p w14:paraId="77933D3D" w14:textId="77777777" w:rsidR="001A3B77" w:rsidRPr="00A81070" w:rsidRDefault="001A3B77" w:rsidP="00B10322">
            <w:pPr>
              <w:rPr>
                <w:rFonts w:ascii="Arial" w:hAnsi="Arial" w:cs="Arial"/>
                <w:sz w:val="18"/>
                <w:szCs w:val="18"/>
                <w:lang w:val="en-US"/>
              </w:rPr>
            </w:pPr>
          </w:p>
          <w:p w14:paraId="66A140D9" w14:textId="77777777" w:rsidR="001A3B77" w:rsidRPr="00A81070" w:rsidRDefault="001A3B77" w:rsidP="00B10322">
            <w:pPr>
              <w:rPr>
                <w:rFonts w:ascii="Arial" w:hAnsi="Arial" w:cs="Arial"/>
                <w:sz w:val="18"/>
                <w:szCs w:val="18"/>
                <w:lang w:val="en-US"/>
              </w:rPr>
            </w:pPr>
          </w:p>
          <w:p w14:paraId="5341B00E" w14:textId="77777777" w:rsidR="001A3B77" w:rsidRPr="00A81070" w:rsidRDefault="001A3B77" w:rsidP="00B10322">
            <w:pPr>
              <w:rPr>
                <w:rFonts w:ascii="Arial" w:hAnsi="Arial" w:cs="Arial"/>
                <w:sz w:val="18"/>
                <w:szCs w:val="18"/>
                <w:lang w:val="en-US"/>
              </w:rPr>
            </w:pPr>
          </w:p>
          <w:p w14:paraId="1A0BE028" w14:textId="77777777" w:rsidR="001A3B77" w:rsidRPr="00A81070" w:rsidRDefault="001A3B77" w:rsidP="00B10322">
            <w:pPr>
              <w:rPr>
                <w:rFonts w:ascii="Arial" w:hAnsi="Arial" w:cs="Arial"/>
                <w:sz w:val="18"/>
                <w:szCs w:val="18"/>
                <w:lang w:val="en-US"/>
              </w:rPr>
            </w:pPr>
          </w:p>
          <w:p w14:paraId="54A3148E" w14:textId="77777777" w:rsidR="001A3B77" w:rsidRPr="00A81070" w:rsidRDefault="001A3B77" w:rsidP="00B10322">
            <w:pPr>
              <w:rPr>
                <w:rFonts w:ascii="Arial" w:hAnsi="Arial" w:cs="Arial"/>
                <w:sz w:val="18"/>
                <w:szCs w:val="18"/>
                <w:lang w:val="en-US"/>
              </w:rPr>
            </w:pPr>
          </w:p>
          <w:p w14:paraId="0F586401" w14:textId="77777777" w:rsidR="001A3B77" w:rsidRPr="00A81070" w:rsidRDefault="001A3B77" w:rsidP="00B10322">
            <w:pPr>
              <w:rPr>
                <w:rFonts w:ascii="Arial" w:hAnsi="Arial" w:cs="Arial"/>
                <w:sz w:val="18"/>
                <w:szCs w:val="18"/>
                <w:lang w:val="en-US"/>
              </w:rPr>
            </w:pPr>
          </w:p>
          <w:p w14:paraId="4D013ABA" w14:textId="77777777" w:rsidR="001A3B77" w:rsidRPr="00A81070" w:rsidRDefault="001A3B77" w:rsidP="00B10322">
            <w:pPr>
              <w:rPr>
                <w:rFonts w:ascii="Arial" w:hAnsi="Arial" w:cs="Arial"/>
                <w:sz w:val="18"/>
                <w:szCs w:val="18"/>
                <w:lang w:val="en-US"/>
              </w:rPr>
            </w:pPr>
          </w:p>
          <w:p w14:paraId="4336CC89" w14:textId="77777777" w:rsidR="001A3B77" w:rsidRPr="00A81070" w:rsidRDefault="001A3B77" w:rsidP="00B10322">
            <w:pPr>
              <w:rPr>
                <w:rFonts w:ascii="Arial" w:hAnsi="Arial" w:cs="Arial"/>
                <w:sz w:val="18"/>
                <w:szCs w:val="18"/>
                <w:lang w:val="en-US"/>
              </w:rPr>
            </w:pPr>
          </w:p>
          <w:p w14:paraId="28516AE1" w14:textId="77777777" w:rsidR="001A3B77" w:rsidRPr="00A81070" w:rsidRDefault="001A3B77" w:rsidP="00B10322">
            <w:pPr>
              <w:rPr>
                <w:rFonts w:ascii="Arial" w:hAnsi="Arial" w:cs="Arial"/>
                <w:sz w:val="18"/>
                <w:szCs w:val="18"/>
                <w:lang w:val="en-US"/>
              </w:rPr>
            </w:pPr>
          </w:p>
          <w:p w14:paraId="567DFBA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No specified requirements.</w:t>
            </w:r>
          </w:p>
          <w:p w14:paraId="3A2CEFB1" w14:textId="77777777" w:rsidR="001A3B77" w:rsidRPr="00A81070" w:rsidRDefault="001A3B77" w:rsidP="00B10322">
            <w:pPr>
              <w:rPr>
                <w:rFonts w:ascii="Arial" w:hAnsi="Arial" w:cs="Arial"/>
                <w:sz w:val="18"/>
                <w:szCs w:val="18"/>
                <w:lang w:val="en-US"/>
              </w:rPr>
            </w:pPr>
          </w:p>
        </w:tc>
        <w:tc>
          <w:tcPr>
            <w:tcW w:w="1984" w:type="dxa"/>
          </w:tcPr>
          <w:p w14:paraId="68F43CF4"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Fixed outdoor installations are not allowed.</w:t>
            </w:r>
          </w:p>
        </w:tc>
      </w:tr>
      <w:tr w:rsidR="001A3B77" w:rsidRPr="008747F8" w14:paraId="56BE4F88" w14:textId="77777777" w:rsidTr="00B10322">
        <w:trPr>
          <w:trHeight w:val="638"/>
        </w:trPr>
        <w:tc>
          <w:tcPr>
            <w:tcW w:w="1247" w:type="dxa"/>
            <w:vMerge/>
          </w:tcPr>
          <w:p w14:paraId="513677D1" w14:textId="77777777" w:rsidR="001A3B77" w:rsidRPr="00A81070" w:rsidRDefault="001A3B77" w:rsidP="00B10322">
            <w:pPr>
              <w:rPr>
                <w:rFonts w:ascii="Arial" w:hAnsi="Arial" w:cs="Arial"/>
                <w:sz w:val="18"/>
                <w:szCs w:val="18"/>
                <w:lang w:val="en-US"/>
              </w:rPr>
            </w:pPr>
          </w:p>
        </w:tc>
        <w:tc>
          <w:tcPr>
            <w:tcW w:w="638" w:type="dxa"/>
          </w:tcPr>
          <w:p w14:paraId="319F65D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c2</w:t>
            </w:r>
          </w:p>
        </w:tc>
        <w:tc>
          <w:tcPr>
            <w:tcW w:w="720" w:type="dxa"/>
          </w:tcPr>
          <w:p w14:paraId="4B13C06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57-71 </w:t>
            </w:r>
          </w:p>
        </w:tc>
        <w:tc>
          <w:tcPr>
            <w:tcW w:w="1260" w:type="dxa"/>
            <w:shd w:val="clear" w:color="auto" w:fill="auto"/>
          </w:tcPr>
          <w:p w14:paraId="4FC9FA13"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23 dBm/MHz</w:t>
            </w:r>
          </w:p>
        </w:tc>
        <w:tc>
          <w:tcPr>
            <w:tcW w:w="2430" w:type="dxa"/>
          </w:tcPr>
          <w:p w14:paraId="128B9B00"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40 dBm, maximum transmit power of 27 dBm at the antenna port or ports</w:t>
            </w:r>
          </w:p>
        </w:tc>
        <w:tc>
          <w:tcPr>
            <w:tcW w:w="1350" w:type="dxa"/>
            <w:vMerge/>
          </w:tcPr>
          <w:p w14:paraId="10C5F84A" w14:textId="77777777" w:rsidR="001A3B77" w:rsidRPr="00A81070" w:rsidRDefault="001A3B77" w:rsidP="00B10322">
            <w:pPr>
              <w:rPr>
                <w:rFonts w:ascii="Arial" w:hAnsi="Arial" w:cs="Arial"/>
                <w:sz w:val="18"/>
                <w:szCs w:val="18"/>
                <w:lang w:val="en-US"/>
              </w:rPr>
            </w:pPr>
          </w:p>
        </w:tc>
        <w:tc>
          <w:tcPr>
            <w:tcW w:w="1984" w:type="dxa"/>
          </w:tcPr>
          <w:p w14:paraId="15D2E595" w14:textId="77777777" w:rsidR="001A3B77" w:rsidRPr="00A81070" w:rsidRDefault="001A3B77" w:rsidP="00B10322">
            <w:pPr>
              <w:rPr>
                <w:rFonts w:ascii="Arial" w:hAnsi="Arial" w:cs="Arial"/>
                <w:sz w:val="18"/>
                <w:szCs w:val="18"/>
                <w:lang w:val="en-US"/>
              </w:rPr>
            </w:pPr>
          </w:p>
        </w:tc>
      </w:tr>
      <w:tr w:rsidR="001A3B77" w:rsidRPr="008747F8" w14:paraId="02B3CC0E" w14:textId="77777777" w:rsidTr="00B10322">
        <w:trPr>
          <w:trHeight w:val="530"/>
        </w:trPr>
        <w:tc>
          <w:tcPr>
            <w:tcW w:w="1247" w:type="dxa"/>
            <w:vMerge/>
          </w:tcPr>
          <w:p w14:paraId="5DFDFC68" w14:textId="77777777" w:rsidR="001A3B77" w:rsidRPr="00A81070" w:rsidRDefault="001A3B77" w:rsidP="00B10322">
            <w:pPr>
              <w:rPr>
                <w:rFonts w:ascii="Arial" w:hAnsi="Arial" w:cs="Arial"/>
                <w:sz w:val="18"/>
                <w:szCs w:val="18"/>
                <w:lang w:val="en-US"/>
              </w:rPr>
            </w:pPr>
          </w:p>
        </w:tc>
        <w:tc>
          <w:tcPr>
            <w:tcW w:w="638" w:type="dxa"/>
          </w:tcPr>
          <w:p w14:paraId="73C9001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c3</w:t>
            </w:r>
          </w:p>
        </w:tc>
        <w:tc>
          <w:tcPr>
            <w:tcW w:w="720" w:type="dxa"/>
          </w:tcPr>
          <w:p w14:paraId="01164CA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57-71 </w:t>
            </w:r>
          </w:p>
        </w:tc>
        <w:tc>
          <w:tcPr>
            <w:tcW w:w="1260" w:type="dxa"/>
            <w:shd w:val="clear" w:color="auto" w:fill="auto"/>
          </w:tcPr>
          <w:p w14:paraId="4F88514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38 dBm/MHz </w:t>
            </w:r>
          </w:p>
        </w:tc>
        <w:tc>
          <w:tcPr>
            <w:tcW w:w="2430" w:type="dxa"/>
          </w:tcPr>
          <w:p w14:paraId="3BA3E99D" w14:textId="77777777" w:rsidR="001A3B77" w:rsidRPr="006A6EC4" w:rsidRDefault="001A3B77" w:rsidP="00B10322">
            <w:pPr>
              <w:rPr>
                <w:rFonts w:ascii="Arial" w:hAnsi="Arial" w:cs="Arial"/>
                <w:sz w:val="18"/>
                <w:szCs w:val="18"/>
                <w:lang w:val="sv-SE"/>
              </w:rPr>
            </w:pPr>
            <w:r w:rsidRPr="00A81070">
              <w:rPr>
                <w:rFonts w:ascii="Arial" w:hAnsi="Arial" w:cs="Arial"/>
                <w:sz w:val="18"/>
                <w:szCs w:val="18"/>
              </w:rPr>
              <w:t>55 dBm, transmit antenna gain ≥ 30 dBi</w:t>
            </w:r>
          </w:p>
        </w:tc>
        <w:tc>
          <w:tcPr>
            <w:tcW w:w="1350" w:type="dxa"/>
            <w:vMerge/>
          </w:tcPr>
          <w:p w14:paraId="1A460DE5" w14:textId="77777777" w:rsidR="001A3B77" w:rsidRPr="006A6EC4" w:rsidRDefault="001A3B77" w:rsidP="00B10322">
            <w:pPr>
              <w:rPr>
                <w:rFonts w:ascii="Arial" w:hAnsi="Arial" w:cs="Arial"/>
                <w:sz w:val="18"/>
                <w:szCs w:val="18"/>
                <w:lang w:val="sv-SE"/>
              </w:rPr>
            </w:pPr>
          </w:p>
        </w:tc>
        <w:tc>
          <w:tcPr>
            <w:tcW w:w="1984" w:type="dxa"/>
          </w:tcPr>
          <w:p w14:paraId="0C8FC636"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Applies only to fixed outdoor installations.</w:t>
            </w:r>
          </w:p>
        </w:tc>
      </w:tr>
      <w:tr w:rsidR="001A3B77" w:rsidRPr="008747F8" w14:paraId="46CD92BB" w14:textId="77777777" w:rsidTr="00B10322">
        <w:trPr>
          <w:trHeight w:val="886"/>
        </w:trPr>
        <w:tc>
          <w:tcPr>
            <w:tcW w:w="1247" w:type="dxa"/>
            <w:vMerge w:val="restart"/>
          </w:tcPr>
          <w:p w14:paraId="46A7DEAC"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FCC</w:t>
            </w:r>
          </w:p>
        </w:tc>
        <w:tc>
          <w:tcPr>
            <w:tcW w:w="1358" w:type="dxa"/>
            <w:gridSpan w:val="2"/>
          </w:tcPr>
          <w:p w14:paraId="31163F0F"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57 – 71</w:t>
            </w:r>
          </w:p>
        </w:tc>
        <w:tc>
          <w:tcPr>
            <w:tcW w:w="1260" w:type="dxa"/>
            <w:vMerge w:val="restart"/>
            <w:shd w:val="clear" w:color="auto" w:fill="auto"/>
          </w:tcPr>
          <w:p w14:paraId="3D7DF35F" w14:textId="77777777" w:rsidR="001A3B77" w:rsidRPr="00A81070" w:rsidRDefault="001A3B77" w:rsidP="00B10322">
            <w:pPr>
              <w:rPr>
                <w:rFonts w:ascii="Arial" w:hAnsi="Arial" w:cs="Arial"/>
                <w:sz w:val="18"/>
                <w:szCs w:val="18"/>
                <w:lang w:val="en-US"/>
              </w:rPr>
            </w:pPr>
          </w:p>
          <w:p w14:paraId="23EE63F2" w14:textId="77777777" w:rsidR="001A3B77" w:rsidRPr="00A81070" w:rsidRDefault="001A3B77" w:rsidP="00B10322">
            <w:pPr>
              <w:rPr>
                <w:rFonts w:ascii="Arial" w:hAnsi="Arial" w:cs="Arial"/>
                <w:sz w:val="18"/>
                <w:szCs w:val="18"/>
                <w:lang w:val="en-US"/>
              </w:rPr>
            </w:pPr>
          </w:p>
          <w:p w14:paraId="0B7D0BFD" w14:textId="77777777" w:rsidR="001A3B77" w:rsidRPr="00A81070" w:rsidRDefault="001A3B77" w:rsidP="00B10322">
            <w:pPr>
              <w:rPr>
                <w:rFonts w:ascii="Arial" w:hAnsi="Arial" w:cs="Arial"/>
                <w:sz w:val="18"/>
                <w:szCs w:val="18"/>
                <w:lang w:val="en-US"/>
              </w:rPr>
            </w:pPr>
          </w:p>
          <w:p w14:paraId="5741B0EA" w14:textId="77777777" w:rsidR="001A3B77" w:rsidRPr="00A81070" w:rsidRDefault="001A3B77" w:rsidP="00B10322">
            <w:pPr>
              <w:rPr>
                <w:rFonts w:ascii="Arial" w:hAnsi="Arial" w:cs="Arial"/>
                <w:sz w:val="18"/>
                <w:szCs w:val="18"/>
                <w:lang w:val="en-US"/>
              </w:rPr>
            </w:pPr>
          </w:p>
          <w:p w14:paraId="0E2CF034" w14:textId="77777777" w:rsidR="001A3B77" w:rsidRPr="00A81070" w:rsidRDefault="001A3B77" w:rsidP="00B10322">
            <w:pPr>
              <w:rPr>
                <w:rFonts w:ascii="Arial" w:hAnsi="Arial" w:cs="Arial"/>
                <w:sz w:val="18"/>
                <w:szCs w:val="18"/>
                <w:lang w:val="en-US"/>
              </w:rPr>
            </w:pPr>
          </w:p>
          <w:p w14:paraId="6D07C3A5" w14:textId="77777777" w:rsidR="001A3B77" w:rsidRPr="00A81070" w:rsidRDefault="001A3B77" w:rsidP="00B10322">
            <w:pPr>
              <w:rPr>
                <w:rFonts w:ascii="Arial" w:hAnsi="Arial" w:cs="Arial"/>
                <w:sz w:val="18"/>
                <w:szCs w:val="18"/>
                <w:lang w:val="en-US"/>
              </w:rPr>
            </w:pPr>
          </w:p>
          <w:p w14:paraId="5DE97917"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No specified requirements.</w:t>
            </w:r>
          </w:p>
          <w:p w14:paraId="60D753C6" w14:textId="77777777" w:rsidR="001A3B77" w:rsidRPr="00A81070" w:rsidRDefault="001A3B77" w:rsidP="00B10322">
            <w:pPr>
              <w:rPr>
                <w:rFonts w:ascii="Arial" w:hAnsi="Arial" w:cs="Arial"/>
                <w:sz w:val="18"/>
                <w:szCs w:val="18"/>
                <w:lang w:val="en-US"/>
              </w:rPr>
            </w:pPr>
          </w:p>
        </w:tc>
        <w:tc>
          <w:tcPr>
            <w:tcW w:w="2430" w:type="dxa"/>
          </w:tcPr>
          <w:p w14:paraId="3FB5CCC3"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Max avg, EIRP 40dBm</w:t>
            </w:r>
          </w:p>
          <w:p w14:paraId="3C7D3C04"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Max peak EIRP 43dBm</w:t>
            </w:r>
          </w:p>
          <w:p w14:paraId="2B7443D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If emission-BW is less than 100 MHz, max peak conducted output power is {500mW × emission-BW / 100MHz} </w:t>
            </w:r>
          </w:p>
          <w:p w14:paraId="265C4A08"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Otherwise, max peak conducted output power is 500mW</w:t>
            </w:r>
          </w:p>
        </w:tc>
        <w:tc>
          <w:tcPr>
            <w:tcW w:w="1350" w:type="dxa"/>
            <w:vMerge/>
          </w:tcPr>
          <w:p w14:paraId="3D90D917" w14:textId="77777777" w:rsidR="001A3B77" w:rsidRPr="00A81070" w:rsidRDefault="001A3B77" w:rsidP="00B10322">
            <w:pPr>
              <w:rPr>
                <w:rFonts w:ascii="Arial" w:hAnsi="Arial" w:cs="Arial"/>
                <w:sz w:val="18"/>
                <w:szCs w:val="18"/>
                <w:lang w:val="en-US"/>
              </w:rPr>
            </w:pPr>
          </w:p>
        </w:tc>
        <w:tc>
          <w:tcPr>
            <w:tcW w:w="1984" w:type="dxa"/>
          </w:tcPr>
          <w:p w14:paraId="78E52C6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Equipment other than fixed outdoor.</w:t>
            </w:r>
          </w:p>
          <w:p w14:paraId="0AE67971" w14:textId="77777777" w:rsidR="001A3B77" w:rsidRPr="00A81070" w:rsidRDefault="001A3B77" w:rsidP="00B10322">
            <w:pPr>
              <w:rPr>
                <w:rFonts w:ascii="Arial" w:hAnsi="Arial" w:cs="Arial"/>
                <w:sz w:val="18"/>
                <w:szCs w:val="18"/>
                <w:lang w:val="en-US"/>
              </w:rPr>
            </w:pPr>
          </w:p>
        </w:tc>
      </w:tr>
      <w:tr w:rsidR="001A3B77" w:rsidRPr="008747F8" w14:paraId="1271FA8F" w14:textId="77777777" w:rsidTr="00B10322">
        <w:trPr>
          <w:trHeight w:val="886"/>
        </w:trPr>
        <w:tc>
          <w:tcPr>
            <w:tcW w:w="1247" w:type="dxa"/>
            <w:vMerge/>
          </w:tcPr>
          <w:p w14:paraId="5782EFFE" w14:textId="77777777" w:rsidR="001A3B77" w:rsidRPr="00A81070" w:rsidRDefault="001A3B77" w:rsidP="00B10322">
            <w:pPr>
              <w:rPr>
                <w:rFonts w:ascii="Arial" w:hAnsi="Arial" w:cs="Arial"/>
                <w:sz w:val="18"/>
                <w:szCs w:val="18"/>
                <w:lang w:val="en-US"/>
              </w:rPr>
            </w:pPr>
          </w:p>
        </w:tc>
        <w:tc>
          <w:tcPr>
            <w:tcW w:w="1358" w:type="dxa"/>
            <w:gridSpan w:val="2"/>
          </w:tcPr>
          <w:p w14:paraId="553DB7D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57 – 71</w:t>
            </w:r>
          </w:p>
        </w:tc>
        <w:tc>
          <w:tcPr>
            <w:tcW w:w="1260" w:type="dxa"/>
            <w:vMerge/>
            <w:shd w:val="clear" w:color="auto" w:fill="auto"/>
          </w:tcPr>
          <w:p w14:paraId="3BC39C43" w14:textId="77777777" w:rsidR="001A3B77" w:rsidRPr="00A81070" w:rsidRDefault="001A3B77" w:rsidP="00B10322">
            <w:pPr>
              <w:rPr>
                <w:rFonts w:ascii="Arial" w:hAnsi="Arial" w:cs="Arial"/>
                <w:sz w:val="18"/>
                <w:szCs w:val="18"/>
                <w:lang w:val="en-US"/>
              </w:rPr>
            </w:pPr>
          </w:p>
        </w:tc>
        <w:tc>
          <w:tcPr>
            <w:tcW w:w="2430" w:type="dxa"/>
          </w:tcPr>
          <w:p w14:paraId="5A4E7D4C"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Max avg. EIRP (82 – 2N) dBm</w:t>
            </w:r>
          </w:p>
          <w:p w14:paraId="1029A6FA"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lastRenderedPageBreak/>
              <w:t>Max peak EIRP (85 – 2N) dBm.</w:t>
            </w:r>
          </w:p>
          <w:p w14:paraId="28F77A8C"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N = max(0, 51 dBi – antenna-gain)</w:t>
            </w:r>
          </w:p>
          <w:p w14:paraId="39250967"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If emission-BW is less than 100 MHz, max peak conducted output power is {500mW × emission-BW / 100MHz} </w:t>
            </w:r>
          </w:p>
          <w:p w14:paraId="5CE68544"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Otherwise, max peak conducted output power is 500mW</w:t>
            </w:r>
          </w:p>
        </w:tc>
        <w:tc>
          <w:tcPr>
            <w:tcW w:w="1350" w:type="dxa"/>
            <w:vMerge/>
          </w:tcPr>
          <w:p w14:paraId="12935B2C" w14:textId="77777777" w:rsidR="001A3B77" w:rsidRPr="00A81070" w:rsidRDefault="001A3B77" w:rsidP="00B10322">
            <w:pPr>
              <w:rPr>
                <w:rFonts w:ascii="Arial" w:hAnsi="Arial" w:cs="Arial"/>
                <w:sz w:val="18"/>
                <w:szCs w:val="18"/>
                <w:lang w:val="en-US"/>
              </w:rPr>
            </w:pPr>
          </w:p>
        </w:tc>
        <w:tc>
          <w:tcPr>
            <w:tcW w:w="1984" w:type="dxa"/>
          </w:tcPr>
          <w:p w14:paraId="3A1D55D1" w14:textId="77777777" w:rsidR="001A3B77" w:rsidRPr="00A81070" w:rsidRDefault="001A3B77" w:rsidP="00B10322">
            <w:pPr>
              <w:keepNext/>
              <w:rPr>
                <w:rFonts w:ascii="Arial" w:hAnsi="Arial" w:cs="Arial"/>
                <w:sz w:val="18"/>
                <w:szCs w:val="18"/>
                <w:lang w:val="en-US"/>
              </w:rPr>
            </w:pPr>
            <w:r w:rsidRPr="00A81070">
              <w:rPr>
                <w:rFonts w:ascii="Arial" w:hAnsi="Arial" w:cs="Arial"/>
                <w:sz w:val="18"/>
                <w:szCs w:val="18"/>
              </w:rPr>
              <w:t>Fixed outdoor equipment</w:t>
            </w:r>
          </w:p>
        </w:tc>
      </w:tr>
    </w:tbl>
    <w:p w14:paraId="0DE744AF" w14:textId="77777777" w:rsidR="00643525" w:rsidRPr="00156B29" w:rsidRDefault="00643525" w:rsidP="00A743A7">
      <w:pPr>
        <w:pStyle w:val="BodyText"/>
      </w:pPr>
    </w:p>
    <w:p w14:paraId="20863D1F" w14:textId="31756994" w:rsidR="001C3202" w:rsidRPr="00A743A7" w:rsidRDefault="003E5519" w:rsidP="001C3202">
      <w:pPr>
        <w:pStyle w:val="BodyText"/>
        <w:rPr>
          <w:b/>
          <w:bCs/>
          <w:lang w:val="en-GB" w:eastAsia="ja-JP"/>
        </w:rPr>
      </w:pPr>
      <w:r w:rsidRPr="00A743A7">
        <w:rPr>
          <w:b/>
          <w:bCs/>
          <w:u w:val="single"/>
          <w:lang w:val="en-GB" w:eastAsia="ja-JP"/>
        </w:rPr>
        <w:t>PSD requirement</w:t>
      </w:r>
    </w:p>
    <w:p w14:paraId="19B0DDDA" w14:textId="5BCE7CF4" w:rsidR="00A66754" w:rsidRDefault="00A66754">
      <w:pPr>
        <w:pStyle w:val="BodyText"/>
      </w:pPr>
      <w:r>
        <w:t xml:space="preserve">The implication of </w:t>
      </w:r>
      <w:r w:rsidR="00925C69">
        <w:t>a</w:t>
      </w:r>
      <w:r>
        <w:t xml:space="preserve"> PSD requirement </w:t>
      </w:r>
      <w:r w:rsidR="00AD4E63">
        <w:t xml:space="preserve">(e.g., in according to CEPT) </w:t>
      </w:r>
      <w:r>
        <w:t>on the physical layer design is important to consider from a coverage perspective. But as we discuss here, interlaced transmission, while beneficial for the 5/6 GHz band, has very little utility for the 60 GHz band.</w:t>
      </w:r>
    </w:p>
    <w:p w14:paraId="313BBD54" w14:textId="4BABB73F" w:rsidR="00A66754" w:rsidRPr="002F6047" w:rsidRDefault="00A66754" w:rsidP="00F94015">
      <w:pPr>
        <w:pStyle w:val="BodyText"/>
      </w:pPr>
      <w:r w:rsidRPr="002F6047">
        <w:t xml:space="preserve">For NR-U operation in the 5/6 GHz </w:t>
      </w:r>
      <w:r w:rsidR="000570BF">
        <w:t xml:space="preserve">band, </w:t>
      </w:r>
      <w:r w:rsidRPr="002F6047">
        <w:t xml:space="preserve">interlaced transmission was adopted for PUCCH/PUSCH in order to maximize the transmit power under a PSD constraint. For example, in some regulatory regions the power measured in a 1 MHz bandwidth must be 10 dBm or less. Since relatively small subcarrier spacings are used for 5/6 GHz band, e.g., 15/30 kHz, a single PRB only occupies 180/360 kHz, respectively. This means that if UL transmissions are interlaced, and no two PRBs fall within a 1 MHz measurement bandwidth, then the </w:t>
      </w:r>
      <w:r w:rsidR="00AD4E63">
        <w:t xml:space="preserve">transmit </w:t>
      </w:r>
      <w:r w:rsidRPr="002F6047">
        <w:t xml:space="preserve">power may be boosted by at most 10*log10(1000 kHz / SCS) </w:t>
      </w:r>
      <w:r w:rsidR="00925C69">
        <w:t xml:space="preserve">compared to a contiguous allocation </w:t>
      </w:r>
      <w:r w:rsidRPr="002F6047">
        <w:t>without violating the PSD regulations. This translates to 7.4/4.4 dB, for 15/30 kHz, respectively.</w:t>
      </w:r>
    </w:p>
    <w:p w14:paraId="5BDAFDC8" w14:textId="1119C315" w:rsidR="00A66754" w:rsidRPr="002F6047" w:rsidRDefault="00A66754" w:rsidP="00F94015">
      <w:pPr>
        <w:pStyle w:val="BodyText"/>
      </w:pPr>
      <w:r w:rsidRPr="002F6047">
        <w:t>In the 60 GHz band, the situation is different. First the EIRP and PSD depends on the use case (fixed outdoor equipment or not). For deployments other than fixed outdoor, even though the EIRP limit can be up to 40 dBm, it is not expected that a mobile UE will support such high EIRP. In fact, for the system level simulation</w:t>
      </w:r>
      <w:r w:rsidR="00925C69">
        <w:t xml:space="preserve"> evaluations</w:t>
      </w:r>
      <w:r w:rsidRPr="002F6047">
        <w:t>, it</w:t>
      </w:r>
      <w:r w:rsidR="00925C69">
        <w:t xml:space="preserve"> is</w:t>
      </w:r>
      <w:r w:rsidRPr="002F6047">
        <w:t xml:space="preserve"> assumed that the UE EIRP is at most 25 dBm. Hence, the expected UE EIRP is not much higher than the PSD limit (23 dBm/MHz for c1/c2 according to CEPT). Hence, the UE will typically be limited by maximum conducted power before it is limited by PSD.</w:t>
      </w:r>
    </w:p>
    <w:p w14:paraId="7B46B952" w14:textId="77777777" w:rsidR="00A66754" w:rsidRDefault="00A66754" w:rsidP="00F94015">
      <w:pPr>
        <w:pStyle w:val="BodyText"/>
      </w:pPr>
      <w:r w:rsidRPr="002F6047">
        <w:t xml:space="preserve">For fixed outdoor deployments where the devices are expected to achieve higher EIRP, then the difference between the PSD limit (e.g., 38 dBm/MHz for c3 according to CEPT) and the EIRP limit (55 dBm) is larger. Hence, depending on the signal bandwidth the UE Tx power could, in principle, be limited by PSD rather than conducted power. However, in the 60 GHz band the subcarrier spacing will be much larger than in the 5/6 GHz band. This means that a single PRB for all SCS ≥ 120 kHz occupies more than the 1 MHz PSD measurement resolution bandwidth. Because of this, no power boosting is possible making PRB-based interlacing not beneficial. </w:t>
      </w:r>
    </w:p>
    <w:p w14:paraId="2DCD722D" w14:textId="77777777" w:rsidR="00772111" w:rsidRPr="002F6047" w:rsidRDefault="00772111" w:rsidP="00A66754">
      <w:pPr>
        <w:rPr>
          <w:rFonts w:ascii="Arial" w:hAnsi="Arial"/>
          <w:lang w:eastAsia="zh-CN"/>
        </w:rPr>
      </w:pPr>
    </w:p>
    <w:p w14:paraId="63406C8F" w14:textId="77777777" w:rsidR="00A66754" w:rsidRPr="002F6047" w:rsidRDefault="00A66754" w:rsidP="00F94015">
      <w:pPr>
        <w:pStyle w:val="Observation"/>
        <w:rPr>
          <w:lang w:eastAsia="zh-CN"/>
        </w:rPr>
      </w:pPr>
      <w:bookmarkStart w:id="543" w:name="_Toc47712031"/>
      <w:r w:rsidRPr="002F6047">
        <w:rPr>
          <w:lang w:eastAsia="zh-CN"/>
        </w:rPr>
        <w:t>PRB-based interlacing is not beneficial for SCS ≥ 120 kHz</w:t>
      </w:r>
      <w:bookmarkEnd w:id="543"/>
    </w:p>
    <w:p w14:paraId="0A12AA6F" w14:textId="77777777" w:rsidR="00772111" w:rsidRDefault="00772111" w:rsidP="00A66754">
      <w:pPr>
        <w:rPr>
          <w:rFonts w:ascii="Arial" w:hAnsi="Arial"/>
          <w:lang w:eastAsia="zh-CN"/>
        </w:rPr>
      </w:pPr>
    </w:p>
    <w:p w14:paraId="399187D6" w14:textId="3DA1FA78" w:rsidR="00A66754" w:rsidRDefault="00A66754" w:rsidP="00F94015">
      <w:pPr>
        <w:pStyle w:val="BodyText"/>
      </w:pPr>
      <w:r w:rsidRPr="002F6047">
        <w:t>Both in Rel-16 and in the current Rel-17 study item, sub-PRB interlacing has been discussed as a mechanism for achieving power boosting. A "sub-PRB" unit is defined as some integer number N of subcarriers where N &lt; 12. If the SCS is 960 kHz or greater, a single subcarrier (smallest possible sub-PRB unit) would occupy the full 1 MHz PSD measurement resolution bandwidth, hence for SCS ≥ 960 kHz even sub-PRB interlacing is not beneficial.</w:t>
      </w:r>
    </w:p>
    <w:p w14:paraId="55E881A7" w14:textId="77777777" w:rsidR="00772111" w:rsidRDefault="00772111" w:rsidP="00A66754">
      <w:pPr>
        <w:rPr>
          <w:rFonts w:ascii="Arial" w:hAnsi="Arial"/>
          <w:lang w:eastAsia="zh-CN"/>
        </w:rPr>
      </w:pPr>
    </w:p>
    <w:p w14:paraId="451D3578" w14:textId="1EDCABC3" w:rsidR="00A66754" w:rsidRPr="002F6047" w:rsidRDefault="00A66754" w:rsidP="00F94015">
      <w:pPr>
        <w:pStyle w:val="Observation"/>
        <w:rPr>
          <w:lang w:eastAsia="zh-CN"/>
        </w:rPr>
      </w:pPr>
      <w:bookmarkStart w:id="544" w:name="_Toc47712032"/>
      <w:r>
        <w:rPr>
          <w:lang w:eastAsia="zh-CN"/>
        </w:rPr>
        <w:t xml:space="preserve">Sub-PRB interlacing is not beneficial for </w:t>
      </w:r>
      <w:r w:rsidRPr="002F6047">
        <w:rPr>
          <w:lang w:eastAsia="zh-CN"/>
        </w:rPr>
        <w:t xml:space="preserve">SCS ≥ </w:t>
      </w:r>
      <w:r>
        <w:rPr>
          <w:lang w:eastAsia="zh-CN"/>
        </w:rPr>
        <w:t>960</w:t>
      </w:r>
      <w:r w:rsidRPr="002F6047">
        <w:rPr>
          <w:lang w:eastAsia="zh-CN"/>
        </w:rPr>
        <w:t xml:space="preserve"> kHz</w:t>
      </w:r>
      <w:bookmarkEnd w:id="544"/>
    </w:p>
    <w:p w14:paraId="716E5013" w14:textId="77777777" w:rsidR="00772111" w:rsidRDefault="00772111" w:rsidP="00A66754">
      <w:pPr>
        <w:rPr>
          <w:rFonts w:ascii="Arial" w:hAnsi="Arial"/>
          <w:lang w:eastAsia="zh-CN"/>
        </w:rPr>
      </w:pPr>
    </w:p>
    <w:p w14:paraId="1F14E713" w14:textId="47D001A8" w:rsidR="00A66754" w:rsidRDefault="00A66754" w:rsidP="00F94015">
      <w:pPr>
        <w:pStyle w:val="BodyText"/>
      </w:pPr>
      <w:r w:rsidRPr="002F6047">
        <w:t xml:space="preserve">480 kHz SCS is also being discussed for the 60 GHz band.  For this SCS, the maximum power boosting benefit is </w:t>
      </w:r>
      <w:r w:rsidR="00040CF6">
        <w:t xml:space="preserve">only 3 dB </w:t>
      </w:r>
      <w:r w:rsidRPr="002F6047">
        <w:t xml:space="preserve">and it requires using a sub-PRB unit of N = 1 sub-carrier. For </w:t>
      </w:r>
      <w:r w:rsidR="001E1D61">
        <w:t>large frequency domain</w:t>
      </w:r>
      <w:r w:rsidRPr="002F6047">
        <w:t xml:space="preserve"> allocations, ultimately it will be necessary to schedule two </w:t>
      </w:r>
      <w:r w:rsidR="00493DE0">
        <w:t xml:space="preserve">or more sub-PRBs within the 1 MHz PSD measurement resolution bandwidth. In this case, </w:t>
      </w:r>
      <w:r w:rsidRPr="002F6047">
        <w:t xml:space="preserve">the power boosting benefit vanishes. </w:t>
      </w:r>
      <w:r>
        <w:t xml:space="preserve">In general, for any type of interlacing, </w:t>
      </w:r>
      <w:r>
        <w:lastRenderedPageBreak/>
        <w:t>the benefit is primarily for small</w:t>
      </w:r>
      <w:r w:rsidR="00AD4E63">
        <w:t>er</w:t>
      </w:r>
      <w:r>
        <w:t xml:space="preserve"> allocations. We point </w:t>
      </w:r>
      <w:r w:rsidRPr="002F6047">
        <w:t>out that for fixed outdoor deployments as discussed above, the channel conditions are expected to be good, thus making small allocations unlikely.</w:t>
      </w:r>
    </w:p>
    <w:p w14:paraId="7B989869" w14:textId="77777777" w:rsidR="00772111" w:rsidRDefault="00772111" w:rsidP="00A66754">
      <w:pPr>
        <w:rPr>
          <w:rFonts w:ascii="Arial" w:hAnsi="Arial"/>
          <w:lang w:eastAsia="zh-CN"/>
        </w:rPr>
      </w:pPr>
    </w:p>
    <w:p w14:paraId="571CC8F5" w14:textId="6B5A9BE9" w:rsidR="00A66754" w:rsidRPr="00A66754" w:rsidRDefault="00A66754" w:rsidP="00F94015">
      <w:pPr>
        <w:pStyle w:val="Observation"/>
        <w:rPr>
          <w:lang w:eastAsia="zh-CN"/>
        </w:rPr>
      </w:pPr>
      <w:bookmarkStart w:id="545" w:name="_Toc47712033"/>
      <w:r>
        <w:rPr>
          <w:lang w:eastAsia="zh-CN"/>
        </w:rPr>
        <w:t>Both PRB and sub-PRB interlacing is not beneficial for large frequency allocations</w:t>
      </w:r>
      <w:bookmarkEnd w:id="545"/>
    </w:p>
    <w:p w14:paraId="52B37514" w14:textId="77777777" w:rsidR="00772111" w:rsidRDefault="00772111">
      <w:pPr>
        <w:rPr>
          <w:rFonts w:ascii="Arial" w:hAnsi="Arial"/>
          <w:lang w:eastAsia="zh-CN"/>
        </w:rPr>
      </w:pPr>
    </w:p>
    <w:p w14:paraId="53536E4C" w14:textId="7660AB63" w:rsidR="00A66754" w:rsidRDefault="001E1D61" w:rsidP="00F94015">
      <w:pPr>
        <w:pStyle w:val="BodyText"/>
      </w:pPr>
      <w:r>
        <w:t xml:space="preserve">More seriously, introduction of a sub-PRB design requires very large specification changes since the fundamental allocation unit of a full RB needs to be changed. For example, this could require a total redesign of reference signal structures. </w:t>
      </w:r>
      <w:r w:rsidR="00D76263">
        <w:t>F</w:t>
      </w:r>
      <w:r w:rsidR="00A66754" w:rsidRPr="002F6047">
        <w:t xml:space="preserve">or the 60 GHz band, </w:t>
      </w:r>
      <w:r w:rsidR="00D76263">
        <w:t xml:space="preserve">since </w:t>
      </w:r>
      <w:r w:rsidR="00A66754" w:rsidRPr="002F6047">
        <w:t>the scenarios under which any form of interlacing could potentially bring some benefit are very restricted compared to the 5/6 GHz band</w:t>
      </w:r>
      <w:r w:rsidR="00D76263">
        <w:t xml:space="preserve">. In our view, complexity vs. cost tradeoff rules out adoption of sub-PRB interlacing. </w:t>
      </w:r>
    </w:p>
    <w:p w14:paraId="7FF4BF20" w14:textId="77777777" w:rsidR="00772111" w:rsidRPr="00A66754" w:rsidRDefault="00772111" w:rsidP="00F94015"/>
    <w:p w14:paraId="7CB756AE" w14:textId="759BFE3B" w:rsidR="001C3202" w:rsidRDefault="00AA2720" w:rsidP="00012059">
      <w:pPr>
        <w:pStyle w:val="Proposal"/>
      </w:pPr>
      <w:bookmarkStart w:id="546" w:name="_Toc46230579"/>
      <w:bookmarkStart w:id="547" w:name="_Toc46235360"/>
      <w:bookmarkStart w:id="548" w:name="_Toc46237870"/>
      <w:bookmarkStart w:id="549" w:name="_Toc46237903"/>
      <w:bookmarkStart w:id="550" w:name="_Toc46238836"/>
      <w:bookmarkStart w:id="551" w:name="_Toc46238856"/>
      <w:bookmarkStart w:id="552" w:name="_Toc46238947"/>
      <w:bookmarkStart w:id="553" w:name="_Toc46238982"/>
      <w:bookmarkStart w:id="554" w:name="_Toc46239045"/>
      <w:bookmarkStart w:id="555" w:name="_Toc46239078"/>
      <w:bookmarkStart w:id="556" w:name="_Toc46239112"/>
      <w:bookmarkStart w:id="557" w:name="_Toc46239781"/>
      <w:bookmarkStart w:id="558" w:name="_Toc46239910"/>
      <w:bookmarkStart w:id="559" w:name="_Toc46240404"/>
      <w:bookmarkStart w:id="560" w:name="_Toc47712046"/>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r>
        <w:t>The s</w:t>
      </w:r>
      <w:r w:rsidR="001C3202">
        <w:t>upport of UL interlace allocation is not considered for operation in &gt;52.6 GHz spectrum.</w:t>
      </w:r>
      <w:bookmarkEnd w:id="560"/>
    </w:p>
    <w:p w14:paraId="70905866" w14:textId="77777777" w:rsidR="00A66754" w:rsidRPr="002F6047" w:rsidRDefault="00A66754" w:rsidP="00FC1738">
      <w:pPr>
        <w:rPr>
          <w:rFonts w:ascii="Arial" w:hAnsi="Arial"/>
          <w:lang w:eastAsia="zh-CN"/>
        </w:rPr>
      </w:pPr>
    </w:p>
    <w:p w14:paraId="6560E48F" w14:textId="4BE8D689" w:rsidR="006A1B84" w:rsidRPr="00A743A7" w:rsidRDefault="00B2744F" w:rsidP="00B2744F">
      <w:pPr>
        <w:pStyle w:val="BodyText"/>
        <w:rPr>
          <w:b/>
          <w:bCs/>
          <w:u w:val="single"/>
          <w:lang w:val="en-GB" w:eastAsia="ja-JP"/>
        </w:rPr>
      </w:pPr>
      <w:r w:rsidRPr="00A743A7">
        <w:rPr>
          <w:b/>
          <w:bCs/>
          <w:u w:val="single"/>
          <w:lang w:val="en-GB" w:eastAsia="ja-JP"/>
        </w:rPr>
        <w:t xml:space="preserve">Max </w:t>
      </w:r>
      <w:r w:rsidR="006A1B84" w:rsidRPr="00A743A7">
        <w:rPr>
          <w:b/>
          <w:bCs/>
          <w:u w:val="single"/>
          <w:lang w:val="en-GB" w:eastAsia="ja-JP"/>
        </w:rPr>
        <w:t>P</w:t>
      </w:r>
      <w:r w:rsidRPr="00A743A7">
        <w:rPr>
          <w:b/>
          <w:bCs/>
          <w:u w:val="single"/>
          <w:lang w:val="en-GB" w:eastAsia="ja-JP"/>
        </w:rPr>
        <w:t xml:space="preserve">eak </w:t>
      </w:r>
      <w:r w:rsidR="006A1B84" w:rsidRPr="00A743A7">
        <w:rPr>
          <w:b/>
          <w:bCs/>
          <w:u w:val="single"/>
          <w:lang w:val="en-GB" w:eastAsia="ja-JP"/>
        </w:rPr>
        <w:t>C</w:t>
      </w:r>
      <w:r w:rsidRPr="00A743A7">
        <w:rPr>
          <w:b/>
          <w:bCs/>
          <w:u w:val="single"/>
          <w:lang w:val="en-GB" w:eastAsia="ja-JP"/>
        </w:rPr>
        <w:t>onducted Power</w:t>
      </w:r>
    </w:p>
    <w:p w14:paraId="54F7B40C" w14:textId="02BECE16" w:rsidR="00724CC7" w:rsidRDefault="00724CC7" w:rsidP="00724CC7">
      <w:pPr>
        <w:pStyle w:val="BodyText"/>
      </w:pPr>
      <w:r>
        <w:t xml:space="preserve">According to the </w:t>
      </w:r>
      <w:r w:rsidR="00C06B15">
        <w:t xml:space="preserve">FCC </w:t>
      </w:r>
      <w:r>
        <w:t>regulations, the max UE conduct</w:t>
      </w:r>
      <w:r w:rsidR="002D7328">
        <w:t>ed</w:t>
      </w:r>
      <w:r>
        <w:t xml:space="preserve"> power depends</w:t>
      </w:r>
      <w:r w:rsidR="009D3014">
        <w:t xml:space="preserve"> on</w:t>
      </w:r>
      <w:r>
        <w:t xml:space="preserve"> transmission bandwidth. For transmission bandwidth less than 100MHz, the max peak conducted power scales down </w:t>
      </w:r>
      <w:r w:rsidR="009D3014">
        <w:t>proportional</w:t>
      </w:r>
      <w:r>
        <w:t xml:space="preserve"> to the occupied bandwidth</w:t>
      </w:r>
      <w:r w:rsidR="00B71FBB">
        <w:t xml:space="preserve"> according to </w:t>
      </w:r>
      <w:r w:rsidR="00B71FBB" w:rsidRPr="00C52F96">
        <w:rPr>
          <w:rFonts w:cs="Arial"/>
        </w:rPr>
        <w:t xml:space="preserve">{500mW × emission-BW / 100MHz} </w:t>
      </w:r>
      <w:r w:rsidR="002847DC">
        <w:rPr>
          <w:rFonts w:cs="Arial"/>
        </w:rPr>
        <w:t xml:space="preserve">as shown in </w:t>
      </w:r>
      <w:r w:rsidR="00B71FBB">
        <w:rPr>
          <w:rFonts w:cs="Arial"/>
          <w:sz w:val="18"/>
          <w:szCs w:val="18"/>
        </w:rPr>
        <w:fldChar w:fldCharType="begin"/>
      </w:r>
      <w:r w:rsidR="00B71FBB">
        <w:rPr>
          <w:rFonts w:cs="Arial"/>
          <w:sz w:val="18"/>
          <w:szCs w:val="18"/>
        </w:rPr>
        <w:instrText xml:space="preserve"> REF _Ref46247202 \h </w:instrText>
      </w:r>
      <w:r w:rsidR="00B71FBB">
        <w:rPr>
          <w:rFonts w:cs="Arial"/>
          <w:sz w:val="18"/>
          <w:szCs w:val="18"/>
        </w:rPr>
      </w:r>
      <w:r w:rsidR="00B71FBB">
        <w:rPr>
          <w:rFonts w:cs="Arial"/>
          <w:sz w:val="18"/>
          <w:szCs w:val="18"/>
        </w:rPr>
        <w:fldChar w:fldCharType="separate"/>
      </w:r>
      <w:r w:rsidR="00CF206F" w:rsidRPr="00A81070">
        <w:rPr>
          <w:rFonts w:cs="Arial"/>
        </w:rPr>
        <w:t xml:space="preserve">Table </w:t>
      </w:r>
      <w:r w:rsidR="00CF206F">
        <w:rPr>
          <w:rFonts w:cs="Arial"/>
          <w:noProof/>
        </w:rPr>
        <w:t>2</w:t>
      </w:r>
      <w:r w:rsidR="00B71FBB">
        <w:rPr>
          <w:rFonts w:cs="Arial"/>
          <w:sz w:val="18"/>
          <w:szCs w:val="18"/>
        </w:rPr>
        <w:fldChar w:fldCharType="end"/>
      </w:r>
      <w:r>
        <w:t xml:space="preserve">. </w:t>
      </w:r>
      <w:r w:rsidR="00D2180D">
        <w:t>For signals/channels that can be configured/scheduled with bandwidth greater than 100 MHz, the maximum conducted power (27 dBm) can be reached</w:t>
      </w:r>
      <w:r w:rsidR="00D02DC5">
        <w:t xml:space="preserve">. </w:t>
      </w:r>
      <w:r>
        <w:t xml:space="preserve">Example channels that can </w:t>
      </w:r>
      <w:r w:rsidR="00C04A0E">
        <w:t xml:space="preserve">easily </w:t>
      </w:r>
      <w:r>
        <w:t xml:space="preserve">occupy more than 100MHz include PUSCH, SRS and PRACH. </w:t>
      </w:r>
    </w:p>
    <w:p w14:paraId="00C0FD4E" w14:textId="09BFDB1E" w:rsidR="00724CC7" w:rsidRDefault="00724CC7" w:rsidP="00724CC7">
      <w:pPr>
        <w:pStyle w:val="BodyText"/>
      </w:pPr>
      <w:r>
        <w:t>Regarding PRACH, the table below shows the needed bandwidth</w:t>
      </w:r>
      <w:r w:rsidR="00D27644">
        <w:t>s</w:t>
      </w:r>
      <w:r>
        <w:t xml:space="preserve"> </w:t>
      </w:r>
      <w:r w:rsidR="00D27644">
        <w:t xml:space="preserve">for </w:t>
      </w:r>
      <w:r>
        <w:t>PRACH transmission</w:t>
      </w:r>
      <w:r w:rsidR="00D27644">
        <w:t>s</w:t>
      </w:r>
      <w:r>
        <w:t xml:space="preserve"> as a function of SCS and sequence</w:t>
      </w:r>
      <w:r w:rsidR="002D7328">
        <w:t xml:space="preserve"> length</w:t>
      </w:r>
      <w:r>
        <w:t xml:space="preserve">. For every subcarrier spacing </w:t>
      </w:r>
      <w:r w:rsidR="004D423B">
        <w:t xml:space="preserve">equal to or </w:t>
      </w:r>
      <w:r>
        <w:t xml:space="preserve">higher than 240 </w:t>
      </w:r>
      <w:r w:rsidR="00893DC9">
        <w:t>kHz</w:t>
      </w:r>
      <w:r>
        <w:t>, NR supports at least one PRACH sequence that occupy more than 100 MHz. Hence, there is no need to introduce new sequences or consider redesign</w:t>
      </w:r>
      <w:r w:rsidR="0060148D">
        <w:t>ing</w:t>
      </w:r>
      <w:r>
        <w:t xml:space="preserve"> </w:t>
      </w:r>
      <w:r w:rsidR="002D7328">
        <w:t>of</w:t>
      </w:r>
      <w:r>
        <w:t xml:space="preserve"> PRACH.  </w:t>
      </w:r>
    </w:p>
    <w:p w14:paraId="5774CD8A" w14:textId="58457709" w:rsidR="00724CC7" w:rsidRPr="00A81070" w:rsidRDefault="002E7813" w:rsidP="00111FAE">
      <w:pPr>
        <w:pStyle w:val="Caption"/>
        <w:jc w:val="center"/>
        <w:rPr>
          <w:rFonts w:ascii="Arial" w:hAnsi="Arial" w:cs="Arial"/>
        </w:rPr>
      </w:pPr>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CF206F">
        <w:rPr>
          <w:rFonts w:ascii="Arial" w:hAnsi="Arial" w:cs="Arial"/>
          <w:noProof/>
        </w:rPr>
        <w:t>3</w:t>
      </w:r>
      <w:r w:rsidRPr="00A81070">
        <w:rPr>
          <w:rFonts w:ascii="Arial" w:hAnsi="Arial" w:cs="Arial"/>
        </w:rPr>
        <w:fldChar w:fldCharType="end"/>
      </w:r>
      <w:r w:rsidRPr="00A81070">
        <w:rPr>
          <w:rFonts w:ascii="Arial" w:hAnsi="Arial" w:cs="Arial"/>
        </w:rPr>
        <w:t>: the needed bandwidth to PRACH transmission as a function of SCS and L sequence</w:t>
      </w:r>
    </w:p>
    <w:tbl>
      <w:tblPr>
        <w:tblW w:w="8321" w:type="dxa"/>
        <w:jc w:val="center"/>
        <w:tblCellMar>
          <w:left w:w="0" w:type="dxa"/>
          <w:right w:w="0" w:type="dxa"/>
        </w:tblCellMar>
        <w:tblLook w:val="04A0" w:firstRow="1" w:lastRow="0" w:firstColumn="1" w:lastColumn="0" w:noHBand="0" w:noVBand="1"/>
      </w:tblPr>
      <w:tblGrid>
        <w:gridCol w:w="2181"/>
        <w:gridCol w:w="1850"/>
        <w:gridCol w:w="2084"/>
        <w:gridCol w:w="2206"/>
      </w:tblGrid>
      <w:tr w:rsidR="001E7E9E" w:rsidRPr="00A81070" w14:paraId="174E0DE2" w14:textId="77777777" w:rsidTr="00B10322">
        <w:trPr>
          <w:trHeight w:val="40"/>
          <w:jc w:val="center"/>
        </w:trPr>
        <w:tc>
          <w:tcPr>
            <w:tcW w:w="21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254F7A"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Seq length</w:t>
            </w:r>
          </w:p>
        </w:tc>
        <w:tc>
          <w:tcPr>
            <w:tcW w:w="1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766ECFC"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 xml:space="preserve">240 </w:t>
            </w:r>
            <w:r>
              <w:rPr>
                <w:rFonts w:ascii="Arial" w:hAnsi="Arial" w:cs="Arial"/>
                <w:b/>
                <w:bCs/>
                <w:sz w:val="18"/>
                <w:szCs w:val="18"/>
              </w:rPr>
              <w:t>kHz</w:t>
            </w:r>
          </w:p>
        </w:tc>
        <w:tc>
          <w:tcPr>
            <w:tcW w:w="208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9E6E71"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 xml:space="preserve">480 </w:t>
            </w:r>
            <w:r>
              <w:rPr>
                <w:rFonts w:ascii="Arial" w:hAnsi="Arial" w:cs="Arial"/>
                <w:b/>
                <w:bCs/>
                <w:sz w:val="18"/>
                <w:szCs w:val="18"/>
              </w:rPr>
              <w:t>kHz</w:t>
            </w:r>
          </w:p>
        </w:tc>
        <w:tc>
          <w:tcPr>
            <w:tcW w:w="22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FFB84C"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 xml:space="preserve">960 </w:t>
            </w:r>
            <w:r>
              <w:rPr>
                <w:rFonts w:ascii="Arial" w:hAnsi="Arial" w:cs="Arial"/>
                <w:b/>
                <w:bCs/>
                <w:sz w:val="18"/>
                <w:szCs w:val="18"/>
              </w:rPr>
              <w:t>kHz</w:t>
            </w:r>
          </w:p>
        </w:tc>
      </w:tr>
      <w:tr w:rsidR="001E7E9E" w:rsidRPr="00A81070" w14:paraId="7F37DEEA" w14:textId="77777777" w:rsidTr="00B10322">
        <w:trPr>
          <w:trHeight w:val="79"/>
          <w:jc w:val="center"/>
        </w:trPr>
        <w:tc>
          <w:tcPr>
            <w:tcW w:w="21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775B83" w14:textId="77777777" w:rsidR="001E7E9E" w:rsidRPr="00531C64" w:rsidRDefault="001E7E9E" w:rsidP="00B10322">
            <w:pPr>
              <w:spacing w:before="40" w:after="40"/>
              <w:jc w:val="center"/>
              <w:rPr>
                <w:rFonts w:ascii="Arial" w:hAnsi="Arial" w:cs="Arial"/>
                <w:sz w:val="18"/>
                <w:szCs w:val="18"/>
              </w:rPr>
            </w:pPr>
            <w:r w:rsidRPr="00531C64">
              <w:rPr>
                <w:rFonts w:ascii="Arial" w:hAnsi="Arial" w:cs="Arial"/>
                <w:sz w:val="18"/>
                <w:szCs w:val="18"/>
              </w:rPr>
              <w:t>139</w:t>
            </w:r>
          </w:p>
        </w:tc>
        <w:tc>
          <w:tcPr>
            <w:tcW w:w="18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FE8437"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33.3 MHz</w:t>
            </w:r>
          </w:p>
        </w:tc>
        <w:tc>
          <w:tcPr>
            <w:tcW w:w="20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2DA5F"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66.24 MHz</w:t>
            </w:r>
          </w:p>
        </w:tc>
        <w:tc>
          <w:tcPr>
            <w:tcW w:w="2206"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24201E51"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133.44 MHz</w:t>
            </w:r>
          </w:p>
        </w:tc>
      </w:tr>
      <w:tr w:rsidR="001E7E9E" w:rsidRPr="00A81070" w14:paraId="040C2263" w14:textId="77777777" w:rsidTr="00B10322">
        <w:trPr>
          <w:trHeight w:val="40"/>
          <w:jc w:val="center"/>
        </w:trPr>
        <w:tc>
          <w:tcPr>
            <w:tcW w:w="21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6FC0E1" w14:textId="77777777" w:rsidR="001E7E9E" w:rsidRPr="00531C64" w:rsidRDefault="001E7E9E" w:rsidP="00B10322">
            <w:pPr>
              <w:spacing w:before="40" w:after="40"/>
              <w:jc w:val="center"/>
              <w:rPr>
                <w:rFonts w:ascii="Arial" w:hAnsi="Arial" w:cs="Arial"/>
                <w:sz w:val="18"/>
                <w:szCs w:val="18"/>
              </w:rPr>
            </w:pPr>
            <w:r w:rsidRPr="00531C64">
              <w:rPr>
                <w:rFonts w:ascii="Arial" w:hAnsi="Arial" w:cs="Arial"/>
                <w:sz w:val="18"/>
                <w:szCs w:val="18"/>
              </w:rPr>
              <w:t>571</w:t>
            </w:r>
          </w:p>
        </w:tc>
        <w:tc>
          <w:tcPr>
            <w:tcW w:w="1850"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6347339B"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137 MHz</w:t>
            </w:r>
          </w:p>
        </w:tc>
        <w:tc>
          <w:tcPr>
            <w:tcW w:w="2084"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3D93A02B"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274 MHz</w:t>
            </w:r>
          </w:p>
        </w:tc>
        <w:tc>
          <w:tcPr>
            <w:tcW w:w="2206"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637469CF"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548.16 MHz</w:t>
            </w:r>
          </w:p>
        </w:tc>
      </w:tr>
      <w:tr w:rsidR="001E7E9E" w:rsidRPr="00A81070" w14:paraId="4206E35F" w14:textId="77777777" w:rsidTr="00B10322">
        <w:trPr>
          <w:trHeight w:val="40"/>
          <w:jc w:val="center"/>
        </w:trPr>
        <w:tc>
          <w:tcPr>
            <w:tcW w:w="21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FF0ED" w14:textId="77777777" w:rsidR="001E7E9E" w:rsidRPr="00531C64" w:rsidRDefault="001E7E9E" w:rsidP="00B10322">
            <w:pPr>
              <w:spacing w:before="40" w:after="40"/>
              <w:jc w:val="center"/>
              <w:rPr>
                <w:rFonts w:ascii="Arial" w:hAnsi="Arial" w:cs="Arial"/>
                <w:sz w:val="18"/>
                <w:szCs w:val="18"/>
              </w:rPr>
            </w:pPr>
            <w:r w:rsidRPr="00531C64">
              <w:rPr>
                <w:rFonts w:ascii="Arial" w:hAnsi="Arial" w:cs="Arial"/>
                <w:sz w:val="18"/>
                <w:szCs w:val="18"/>
              </w:rPr>
              <w:t>1151</w:t>
            </w:r>
          </w:p>
        </w:tc>
        <w:tc>
          <w:tcPr>
            <w:tcW w:w="1850"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0D1AA073"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276 MHz</w:t>
            </w:r>
          </w:p>
        </w:tc>
        <w:tc>
          <w:tcPr>
            <w:tcW w:w="2084"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518A01EA"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552 MHz</w:t>
            </w:r>
          </w:p>
        </w:tc>
        <w:tc>
          <w:tcPr>
            <w:tcW w:w="2206"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3678594E" w14:textId="77777777" w:rsidR="001E7E9E" w:rsidRPr="00B9506E" w:rsidRDefault="001E7E9E" w:rsidP="00B10322">
            <w:pPr>
              <w:keepNext/>
              <w:spacing w:before="40" w:after="40"/>
              <w:jc w:val="center"/>
              <w:rPr>
                <w:rFonts w:ascii="Arial" w:hAnsi="Arial" w:cs="Arial"/>
                <w:sz w:val="18"/>
                <w:szCs w:val="18"/>
              </w:rPr>
            </w:pPr>
            <w:r w:rsidRPr="00B9506E">
              <w:rPr>
                <w:rFonts w:ascii="Arial" w:hAnsi="Arial" w:cs="Arial"/>
                <w:sz w:val="18"/>
                <w:szCs w:val="18"/>
              </w:rPr>
              <w:t>1104.96 MHz</w:t>
            </w:r>
          </w:p>
        </w:tc>
      </w:tr>
    </w:tbl>
    <w:p w14:paraId="2C8BA50F" w14:textId="77777777" w:rsidR="00155237" w:rsidRDefault="00155237" w:rsidP="00724CC7">
      <w:pPr>
        <w:pStyle w:val="BodyText"/>
      </w:pPr>
    </w:p>
    <w:p w14:paraId="1797F4CF" w14:textId="1CA81ADC" w:rsidR="00AD0F48" w:rsidRDefault="00D02DC5" w:rsidP="00724CC7">
      <w:pPr>
        <w:pStyle w:val="BodyText"/>
      </w:pPr>
      <w:r>
        <w:t>For l</w:t>
      </w:r>
      <w:r w:rsidR="00724CC7">
        <w:t>ow power mobile UE</w:t>
      </w:r>
      <w:r>
        <w:t>s</w:t>
      </w:r>
      <w:r w:rsidR="00724CC7">
        <w:t>, e.g.</w:t>
      </w:r>
      <w:r>
        <w:t>,</w:t>
      </w:r>
      <w:r w:rsidR="00724CC7">
        <w:t xml:space="preserve"> EIRP of 25 dBm as assumed in the system level simulations, the </w:t>
      </w:r>
      <w:r w:rsidR="002D7328">
        <w:t>FCC</w:t>
      </w:r>
      <w:r w:rsidR="00724CC7">
        <w:t xml:space="preserve"> </w:t>
      </w:r>
      <w:r w:rsidR="002D7328">
        <w:t>conducted power</w:t>
      </w:r>
      <w:r w:rsidR="00724CC7">
        <w:t xml:space="preserve"> requirement will not be a limiting factor. </w:t>
      </w:r>
      <w:r>
        <w:t xml:space="preserve"> </w:t>
      </w:r>
      <w:r w:rsidR="00724CC7">
        <w:t xml:space="preserve">If such UE has a 2x2 antenna panel with total antenna gain of at least 12 dB, then only 13 dBm conducted power is needed to reach the </w:t>
      </w:r>
      <w:r w:rsidR="00C30373">
        <w:t>devices own EIRP</w:t>
      </w:r>
      <w:r w:rsidR="00724CC7">
        <w:t xml:space="preserve"> limit. </w:t>
      </w:r>
      <w:r w:rsidR="00C30373">
        <w:t>This is achieved</w:t>
      </w:r>
      <w:r w:rsidR="00724CC7">
        <w:t xml:space="preserve"> for any allocation </w:t>
      </w:r>
      <w:r w:rsidR="000152BA">
        <w:t xml:space="preserve">with a BW </w:t>
      </w:r>
      <w:r w:rsidR="00724CC7">
        <w:t>larger than 3.98</w:t>
      </w:r>
      <w:r w:rsidR="00893DC9">
        <w:t xml:space="preserve"> </w:t>
      </w:r>
      <w:r w:rsidR="00724CC7">
        <w:t xml:space="preserve">MHz, </w:t>
      </w:r>
      <w:r w:rsidR="009123F5">
        <w:t xml:space="preserve">derived according to </w:t>
      </w:r>
      <w:r w:rsidR="009123F5" w:rsidRPr="0035235B">
        <w:rPr>
          <w:rFonts w:cs="Arial"/>
        </w:rPr>
        <w:t xml:space="preserve">10*log10(500mW × </w:t>
      </w:r>
      <w:r w:rsidR="000152BA">
        <w:rPr>
          <w:rFonts w:cs="Arial"/>
        </w:rPr>
        <w:t>BW</w:t>
      </w:r>
      <w:r w:rsidR="009123F5" w:rsidRPr="0035235B">
        <w:rPr>
          <w:rFonts w:cs="Arial"/>
        </w:rPr>
        <w:t xml:space="preserve"> MHz</w:t>
      </w:r>
      <w:r w:rsidR="00C30373">
        <w:rPr>
          <w:rFonts w:cs="Arial"/>
        </w:rPr>
        <w:t xml:space="preserve"> </w:t>
      </w:r>
      <w:r w:rsidR="009123F5" w:rsidRPr="0035235B">
        <w:rPr>
          <w:rFonts w:cs="Arial"/>
        </w:rPr>
        <w:t>/ 100 MHz)</w:t>
      </w:r>
      <w:r w:rsidR="000152BA">
        <w:rPr>
          <w:rFonts w:cs="Arial"/>
        </w:rPr>
        <w:t xml:space="preserve"> = 13</w:t>
      </w:r>
      <w:r w:rsidR="009123F5">
        <w:rPr>
          <w:rFonts w:cs="Arial"/>
          <w:sz w:val="18"/>
          <w:szCs w:val="18"/>
        </w:rPr>
        <w:t xml:space="preserve">. </w:t>
      </w:r>
      <w:r w:rsidR="00724CC7">
        <w:t xml:space="preserve">For 480 </w:t>
      </w:r>
      <w:r w:rsidR="00893DC9">
        <w:t>kHz</w:t>
      </w:r>
      <w:r w:rsidR="00724CC7">
        <w:t xml:space="preserve"> and 96</w:t>
      </w:r>
      <w:r w:rsidR="00BA584F">
        <w:t>0</w:t>
      </w:r>
      <w:r w:rsidR="00724CC7">
        <w:t xml:space="preserve"> </w:t>
      </w:r>
      <w:r w:rsidR="00893DC9">
        <w:t>kHz</w:t>
      </w:r>
      <w:r w:rsidR="00724CC7">
        <w:t xml:space="preserve">, a single PRB is already larger than 3.98 MHz. </w:t>
      </w:r>
      <w:r w:rsidR="00BA584F">
        <w:t>E</w:t>
      </w:r>
      <w:r w:rsidR="00724CC7">
        <w:t xml:space="preserve">ven for 240 </w:t>
      </w:r>
      <w:r w:rsidR="00893DC9">
        <w:t>kHz</w:t>
      </w:r>
      <w:r w:rsidR="00724CC7">
        <w:t xml:space="preserve">, </w:t>
      </w:r>
      <w:r w:rsidR="00C30373">
        <w:t xml:space="preserve">transmission at the </w:t>
      </w:r>
      <w:r>
        <w:t xml:space="preserve">devices own </w:t>
      </w:r>
      <w:r w:rsidR="00C30373">
        <w:t>EIRP limit can be achieved</w:t>
      </w:r>
      <w:r w:rsidR="00724CC7">
        <w:t xml:space="preserve"> by allocating at least two resource blocks for the transmission</w:t>
      </w:r>
      <w:r w:rsidR="00C244C5">
        <w:t>, which is already possible for any UL channel</w:t>
      </w:r>
      <w:r w:rsidR="00724CC7">
        <w:t>. The only exception would be PUCCH format 0</w:t>
      </w:r>
      <w:r w:rsidR="00BD5355">
        <w:t>,</w:t>
      </w:r>
      <w:r w:rsidR="00724CC7">
        <w:t>1</w:t>
      </w:r>
      <w:r w:rsidR="00BD5355">
        <w:t xml:space="preserve"> and 4</w:t>
      </w:r>
      <w:r w:rsidR="00724CC7">
        <w:t xml:space="preserve"> that occupy only </w:t>
      </w:r>
      <w:r w:rsidR="002847DC">
        <w:t xml:space="preserve">a single </w:t>
      </w:r>
      <w:r w:rsidR="00724CC7">
        <w:t>resource block.</w:t>
      </w:r>
    </w:p>
    <w:p w14:paraId="2939EC75" w14:textId="0027EC70" w:rsidR="001E28A4" w:rsidRPr="00C204EF" w:rsidRDefault="001E28A4" w:rsidP="001E28A4">
      <w:pPr>
        <w:pStyle w:val="Caption"/>
        <w:jc w:val="center"/>
        <w:rPr>
          <w:rFonts w:ascii="Arial" w:hAnsi="Arial" w:cs="Arial"/>
        </w:rPr>
      </w:pPr>
      <w:r w:rsidRPr="00C204EF">
        <w:rPr>
          <w:rFonts w:ascii="Arial" w:hAnsi="Arial" w:cs="Arial"/>
        </w:rPr>
        <w:t xml:space="preserve">Table </w:t>
      </w:r>
      <w:r w:rsidRPr="00C204EF">
        <w:rPr>
          <w:rFonts w:ascii="Arial" w:hAnsi="Arial" w:cs="Arial"/>
        </w:rPr>
        <w:fldChar w:fldCharType="begin"/>
      </w:r>
      <w:r w:rsidRPr="00C204EF">
        <w:rPr>
          <w:rFonts w:ascii="Arial" w:hAnsi="Arial" w:cs="Arial"/>
        </w:rPr>
        <w:instrText xml:space="preserve"> SEQ Table \* ARABIC </w:instrText>
      </w:r>
      <w:r w:rsidRPr="00C204EF">
        <w:rPr>
          <w:rFonts w:ascii="Arial" w:hAnsi="Arial" w:cs="Arial"/>
        </w:rPr>
        <w:fldChar w:fldCharType="separate"/>
      </w:r>
      <w:r w:rsidR="00CF206F">
        <w:rPr>
          <w:rFonts w:ascii="Arial" w:hAnsi="Arial" w:cs="Arial"/>
          <w:noProof/>
        </w:rPr>
        <w:t>4</w:t>
      </w:r>
      <w:r w:rsidRPr="00C204EF">
        <w:rPr>
          <w:rFonts w:ascii="Arial" w:hAnsi="Arial" w:cs="Arial"/>
        </w:rPr>
        <w:fldChar w:fldCharType="end"/>
      </w:r>
      <w:r w:rsidRPr="00C204EF">
        <w:rPr>
          <w:rFonts w:ascii="Arial" w:hAnsi="Arial" w:cs="Arial"/>
        </w:rPr>
        <w:t xml:space="preserve">: Number of RBs needed to transmit </w:t>
      </w:r>
      <w:r w:rsidR="00C30373">
        <w:rPr>
          <w:rFonts w:ascii="Arial" w:hAnsi="Arial" w:cs="Arial"/>
        </w:rPr>
        <w:t>at</w:t>
      </w:r>
      <w:r w:rsidR="00C30373" w:rsidRPr="00C204EF">
        <w:rPr>
          <w:rFonts w:ascii="Arial" w:hAnsi="Arial" w:cs="Arial"/>
        </w:rPr>
        <w:t xml:space="preserve"> </w:t>
      </w:r>
      <w:r w:rsidRPr="00C204EF">
        <w:rPr>
          <w:rFonts w:ascii="Arial" w:hAnsi="Arial" w:cs="Arial"/>
        </w:rPr>
        <w:t>EIRP</w:t>
      </w:r>
      <w:r w:rsidR="00C30373">
        <w:rPr>
          <w:rFonts w:ascii="Arial" w:hAnsi="Arial" w:cs="Arial"/>
        </w:rPr>
        <w:t xml:space="preserve"> limit</w:t>
      </w:r>
      <w:r w:rsidRPr="00C204EF">
        <w:rPr>
          <w:rFonts w:ascii="Arial" w:hAnsi="Arial" w:cs="Arial"/>
        </w:rPr>
        <w:t xml:space="preserve"> for low and high power equipment</w:t>
      </w:r>
      <w:r w:rsidR="00C30373">
        <w:rPr>
          <w:rFonts w:ascii="Arial" w:hAnsi="Arial" w:cs="Arial"/>
        </w:rPr>
        <w:t xml:space="preserve"> (assuming 12 dB antenna gain)</w:t>
      </w:r>
    </w:p>
    <w:tbl>
      <w:tblPr>
        <w:tblW w:w="7210" w:type="dxa"/>
        <w:jc w:val="center"/>
        <w:tblCellMar>
          <w:left w:w="0" w:type="dxa"/>
          <w:right w:w="0" w:type="dxa"/>
        </w:tblCellMar>
        <w:tblLook w:val="04A0" w:firstRow="1" w:lastRow="0" w:firstColumn="1" w:lastColumn="0" w:noHBand="0" w:noVBand="1"/>
      </w:tblPr>
      <w:tblGrid>
        <w:gridCol w:w="1567"/>
        <w:gridCol w:w="2971"/>
        <w:gridCol w:w="2672"/>
      </w:tblGrid>
      <w:tr w:rsidR="00155237" w:rsidRPr="00C204EF" w14:paraId="35A63CA9" w14:textId="77777777" w:rsidTr="00B10322">
        <w:trPr>
          <w:trHeight w:val="313"/>
          <w:jc w:val="center"/>
        </w:trPr>
        <w:tc>
          <w:tcPr>
            <w:tcW w:w="1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601CCE" w14:textId="77777777" w:rsidR="00155237" w:rsidRPr="006B2D13" w:rsidRDefault="00155237" w:rsidP="00B10322">
            <w:pPr>
              <w:spacing w:before="40" w:after="40"/>
              <w:jc w:val="center"/>
              <w:rPr>
                <w:rFonts w:ascii="Arial" w:hAnsi="Arial" w:cs="Arial"/>
                <w:b/>
                <w:bCs/>
                <w:sz w:val="18"/>
                <w:szCs w:val="18"/>
              </w:rPr>
            </w:pPr>
            <w:r w:rsidRPr="006B2D13">
              <w:rPr>
                <w:rFonts w:ascii="Arial" w:hAnsi="Arial" w:cs="Arial"/>
                <w:b/>
                <w:bCs/>
                <w:sz w:val="18"/>
                <w:szCs w:val="18"/>
              </w:rPr>
              <w:t>SCS</w:t>
            </w:r>
          </w:p>
        </w:tc>
        <w:tc>
          <w:tcPr>
            <w:tcW w:w="29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3E038B" w14:textId="69D7FEA1" w:rsidR="00155237" w:rsidRPr="006B2D13" w:rsidRDefault="00155237" w:rsidP="00B10322">
            <w:pPr>
              <w:spacing w:before="40" w:after="40"/>
              <w:rPr>
                <w:rFonts w:ascii="Arial" w:hAnsi="Arial" w:cs="Arial"/>
                <w:b/>
                <w:bCs/>
                <w:sz w:val="18"/>
                <w:szCs w:val="18"/>
              </w:rPr>
            </w:pPr>
            <w:r w:rsidRPr="006B2D13">
              <w:rPr>
                <w:rFonts w:ascii="Arial" w:hAnsi="Arial" w:cs="Arial"/>
                <w:b/>
                <w:bCs/>
                <w:sz w:val="18"/>
                <w:szCs w:val="18"/>
              </w:rPr>
              <w:t xml:space="preserve">Number of RBs needed to transmit </w:t>
            </w:r>
            <w:r w:rsidR="00C30373">
              <w:rPr>
                <w:rFonts w:ascii="Arial" w:hAnsi="Arial" w:cs="Arial"/>
                <w:b/>
                <w:bCs/>
                <w:sz w:val="18"/>
                <w:szCs w:val="18"/>
              </w:rPr>
              <w:t>at</w:t>
            </w:r>
            <w:r w:rsidRPr="006B2D13">
              <w:rPr>
                <w:rFonts w:ascii="Arial" w:hAnsi="Arial" w:cs="Arial"/>
                <w:b/>
                <w:bCs/>
                <w:sz w:val="18"/>
                <w:szCs w:val="18"/>
              </w:rPr>
              <w:t xml:space="preserve"> EIRP </w:t>
            </w:r>
            <w:r w:rsidR="00C30373">
              <w:rPr>
                <w:rFonts w:ascii="Arial" w:hAnsi="Arial" w:cs="Arial"/>
                <w:b/>
                <w:bCs/>
                <w:sz w:val="18"/>
                <w:szCs w:val="18"/>
              </w:rPr>
              <w:t>limit for low power equipment</w:t>
            </w:r>
          </w:p>
        </w:tc>
        <w:tc>
          <w:tcPr>
            <w:tcW w:w="2672" w:type="dxa"/>
            <w:tcBorders>
              <w:top w:val="single" w:sz="8" w:space="0" w:color="auto"/>
              <w:left w:val="nil"/>
              <w:bottom w:val="single" w:sz="8" w:space="0" w:color="auto"/>
              <w:right w:val="single" w:sz="8" w:space="0" w:color="auto"/>
            </w:tcBorders>
            <w:tcMar>
              <w:left w:w="72" w:type="dxa"/>
            </w:tcMar>
            <w:vAlign w:val="center"/>
            <w:hideMark/>
          </w:tcPr>
          <w:p w14:paraId="241ADD3D" w14:textId="1E504546" w:rsidR="00155237" w:rsidRPr="006B2D13" w:rsidRDefault="00155237" w:rsidP="00B10322">
            <w:pPr>
              <w:spacing w:before="40" w:after="40"/>
              <w:rPr>
                <w:rFonts w:ascii="Arial" w:hAnsi="Arial" w:cs="Arial"/>
                <w:b/>
                <w:bCs/>
                <w:sz w:val="18"/>
                <w:szCs w:val="18"/>
              </w:rPr>
            </w:pPr>
            <w:r w:rsidRPr="006B2D13">
              <w:rPr>
                <w:rFonts w:ascii="Arial" w:hAnsi="Arial" w:cs="Arial"/>
                <w:b/>
                <w:bCs/>
                <w:sz w:val="18"/>
                <w:szCs w:val="18"/>
              </w:rPr>
              <w:t xml:space="preserve">Number of RBs needed to transmit </w:t>
            </w:r>
            <w:r w:rsidR="00C30373">
              <w:rPr>
                <w:rFonts w:ascii="Arial" w:hAnsi="Arial" w:cs="Arial"/>
                <w:b/>
                <w:bCs/>
                <w:sz w:val="18"/>
                <w:szCs w:val="18"/>
              </w:rPr>
              <w:t>at</w:t>
            </w:r>
            <w:r w:rsidR="00C30373" w:rsidRPr="006B2D13">
              <w:rPr>
                <w:rFonts w:ascii="Arial" w:hAnsi="Arial" w:cs="Arial"/>
                <w:b/>
                <w:bCs/>
                <w:sz w:val="18"/>
                <w:szCs w:val="18"/>
              </w:rPr>
              <w:t xml:space="preserve"> </w:t>
            </w:r>
            <w:r w:rsidRPr="006B2D13">
              <w:rPr>
                <w:rFonts w:ascii="Arial" w:hAnsi="Arial" w:cs="Arial"/>
                <w:b/>
                <w:bCs/>
                <w:sz w:val="18"/>
                <w:szCs w:val="18"/>
              </w:rPr>
              <w:t xml:space="preserve">EIRP </w:t>
            </w:r>
            <w:r w:rsidR="00C30373">
              <w:rPr>
                <w:rFonts w:ascii="Arial" w:hAnsi="Arial" w:cs="Arial"/>
                <w:b/>
                <w:bCs/>
                <w:sz w:val="18"/>
                <w:szCs w:val="18"/>
              </w:rPr>
              <w:t xml:space="preserve">limit </w:t>
            </w:r>
            <w:r w:rsidRPr="006B2D13">
              <w:rPr>
                <w:rFonts w:ascii="Arial" w:hAnsi="Arial" w:cs="Arial"/>
                <w:b/>
                <w:bCs/>
                <w:sz w:val="18"/>
                <w:szCs w:val="18"/>
              </w:rPr>
              <w:t>for high power equipment</w:t>
            </w:r>
          </w:p>
        </w:tc>
      </w:tr>
      <w:tr w:rsidR="00155237" w:rsidRPr="00C204EF" w14:paraId="20F12CC7" w14:textId="77777777" w:rsidTr="00B10322">
        <w:trPr>
          <w:trHeight w:val="313"/>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571EE85"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240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ED836F6"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2</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07C1629F"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35</w:t>
            </w:r>
          </w:p>
        </w:tc>
      </w:tr>
      <w:tr w:rsidR="00155237" w:rsidRPr="00C204EF" w14:paraId="04718B54" w14:textId="77777777" w:rsidTr="00B10322">
        <w:trPr>
          <w:trHeight w:val="321"/>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F4F9EEA"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480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C9061EF"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1A09C905"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18</w:t>
            </w:r>
          </w:p>
        </w:tc>
      </w:tr>
      <w:tr w:rsidR="00155237" w:rsidRPr="00C204EF" w14:paraId="32D360A8" w14:textId="77777777" w:rsidTr="00B10322">
        <w:trPr>
          <w:trHeight w:val="313"/>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2FAC612"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960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8D6EFD"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01E7C092" w14:textId="77777777" w:rsidR="00155237" w:rsidRPr="00B9506E" w:rsidRDefault="00155237" w:rsidP="00B10322">
            <w:pPr>
              <w:keepNext/>
              <w:spacing w:before="40" w:after="40"/>
              <w:jc w:val="center"/>
              <w:rPr>
                <w:rFonts w:ascii="Arial" w:hAnsi="Arial" w:cs="Arial"/>
                <w:sz w:val="18"/>
                <w:szCs w:val="18"/>
              </w:rPr>
            </w:pPr>
            <w:r w:rsidRPr="00B9506E">
              <w:rPr>
                <w:rFonts w:ascii="Arial" w:hAnsi="Arial" w:cs="Arial"/>
                <w:sz w:val="18"/>
                <w:szCs w:val="18"/>
              </w:rPr>
              <w:t>9</w:t>
            </w:r>
          </w:p>
        </w:tc>
      </w:tr>
    </w:tbl>
    <w:p w14:paraId="2E3275CE" w14:textId="77777777" w:rsidR="00AD0F48" w:rsidDel="001E28A4" w:rsidRDefault="00AD0F48" w:rsidP="00724CC7">
      <w:pPr>
        <w:pStyle w:val="BodyText"/>
      </w:pPr>
    </w:p>
    <w:p w14:paraId="7500FDCE" w14:textId="497ACE5F" w:rsidR="0068732C" w:rsidRDefault="00595047" w:rsidP="00724CC7">
      <w:pPr>
        <w:pStyle w:val="BodyText"/>
      </w:pPr>
      <w:r>
        <w:lastRenderedPageBreak/>
        <w:t>F</w:t>
      </w:r>
      <w:r w:rsidR="008B7C7B">
        <w:t>or high</w:t>
      </w:r>
      <w:r w:rsidR="002D7328">
        <w:t>er</w:t>
      </w:r>
      <w:r w:rsidR="008B7C7B">
        <w:t xml:space="preserve"> power equipment, the </w:t>
      </w:r>
      <w:r w:rsidR="00C30373">
        <w:t xml:space="preserve">conducted power does not need to be reduced below the </w:t>
      </w:r>
      <w:r w:rsidR="008B7C7B">
        <w:t xml:space="preserve">FCC </w:t>
      </w:r>
      <w:r w:rsidR="00C30373">
        <w:t>maximum value of</w:t>
      </w:r>
      <w:r w:rsidR="00C439F1">
        <w:t xml:space="preserve"> 500 mW</w:t>
      </w:r>
      <w:r w:rsidR="008B7C7B">
        <w:t xml:space="preserve"> </w:t>
      </w:r>
      <w:r w:rsidR="002847DC">
        <w:t xml:space="preserve">(27 dBm) </w:t>
      </w:r>
      <w:r w:rsidR="00C30373">
        <w:t>as long as</w:t>
      </w:r>
      <w:r w:rsidR="008B7C7B">
        <w:t xml:space="preserve"> the allocation is at least 35, 18, and 9</w:t>
      </w:r>
      <w:r w:rsidR="005574B3">
        <w:t xml:space="preserve"> RBs for 240, 480 and 960 </w:t>
      </w:r>
      <w:r w:rsidR="00893DC9">
        <w:t>kHz</w:t>
      </w:r>
      <w:r w:rsidR="005574B3">
        <w:t xml:space="preserve"> respectively. </w:t>
      </w:r>
      <w:r w:rsidR="00C30373">
        <w:t>As mentioned above,</w:t>
      </w:r>
      <w:r w:rsidR="00E16847">
        <w:t xml:space="preserve"> PUCCH format 0</w:t>
      </w:r>
      <w:r w:rsidR="00BD5355">
        <w:t>,</w:t>
      </w:r>
      <w:r w:rsidR="00E16847">
        <w:t>1</w:t>
      </w:r>
      <w:r w:rsidR="00BD5355">
        <w:t>, and 4</w:t>
      </w:r>
      <w:r w:rsidR="00E16847">
        <w:t xml:space="preserve"> cannot </w:t>
      </w:r>
      <w:r w:rsidR="009D4EBB">
        <w:t xml:space="preserve">fulfill this requirement and therefore </w:t>
      </w:r>
      <w:r w:rsidR="00D37300">
        <w:t>PUCCH coverage</w:t>
      </w:r>
      <w:r w:rsidR="00F409A8">
        <w:t xml:space="preserve"> m</w:t>
      </w:r>
      <w:r w:rsidR="005C1C81">
        <w:t>ay be negatively impacted</w:t>
      </w:r>
      <w:r w:rsidR="00C30373">
        <w:t xml:space="preserve"> for high power equipment</w:t>
      </w:r>
      <w:r w:rsidR="00D37300">
        <w:t>.</w:t>
      </w:r>
      <w:r w:rsidR="009D4EBB">
        <w:t xml:space="preserve"> </w:t>
      </w:r>
      <w:r w:rsidR="00164581">
        <w:t xml:space="preserve">Time </w:t>
      </w:r>
      <w:r w:rsidR="0092254D">
        <w:t xml:space="preserve">domain repetition </w:t>
      </w:r>
      <w:r w:rsidR="00102B39">
        <w:t>can be used to compensate for the limited transmit power for PF0</w:t>
      </w:r>
      <w:r w:rsidR="00D32E75">
        <w:t>/1/4</w:t>
      </w:r>
      <w:r w:rsidR="00102B39">
        <w:t>.</w:t>
      </w:r>
      <w:r w:rsidR="00D32E75">
        <w:t xml:space="preserve"> Also</w:t>
      </w:r>
      <w:r w:rsidR="00427744">
        <w:t xml:space="preserve">, the </w:t>
      </w:r>
      <w:r w:rsidR="00BF09AB">
        <w:t xml:space="preserve">issue can be avoided if UCI is sent on PUSCH instead of PUCCH. </w:t>
      </w:r>
      <w:r w:rsidR="00164581">
        <w:t xml:space="preserve"> </w:t>
      </w:r>
      <w:r w:rsidR="00375696">
        <w:t>Alternative enhancements</w:t>
      </w:r>
      <w:r w:rsidR="00E53C68">
        <w:t xml:space="preserve">, such as </w:t>
      </w:r>
      <w:r w:rsidR="0068732C">
        <w:t xml:space="preserve">expanding the bandwidth of PF0/1/4 can be considered, e.g., by design </w:t>
      </w:r>
      <w:r w:rsidR="00EB396F">
        <w:t>of</w:t>
      </w:r>
      <w:r w:rsidR="0068732C">
        <w:t xml:space="preserve"> longer sequences or by repetition in the frequency domain with application of appropriate PAPR mitigation techniques.</w:t>
      </w:r>
    </w:p>
    <w:p w14:paraId="6BB32B39" w14:textId="77777777" w:rsidR="001E28A4" w:rsidRDefault="001E28A4" w:rsidP="00724CC7">
      <w:pPr>
        <w:pStyle w:val="BodyText"/>
      </w:pPr>
    </w:p>
    <w:p w14:paraId="62E59B9D" w14:textId="4E380D37" w:rsidR="00E53C68" w:rsidRDefault="00D6312D" w:rsidP="00111FAE">
      <w:pPr>
        <w:pStyle w:val="Proposal"/>
      </w:pPr>
      <w:bookmarkStart w:id="561" w:name="_Toc47712047"/>
      <w:r>
        <w:t>PUCCH format 0</w:t>
      </w:r>
      <w:r w:rsidR="00D32E75">
        <w:t>/</w:t>
      </w:r>
      <w:r>
        <w:t>1</w:t>
      </w:r>
      <w:r w:rsidR="00D32E75">
        <w:t>/4</w:t>
      </w:r>
      <w:r>
        <w:t xml:space="preserve"> enhancements to compensate for the limited </w:t>
      </w:r>
      <w:r w:rsidR="00042C6F">
        <w:t xml:space="preserve">transmit power should be </w:t>
      </w:r>
      <w:r w:rsidR="00D32E75">
        <w:t>studied</w:t>
      </w:r>
      <w:r w:rsidR="00042C6F">
        <w:t>.</w:t>
      </w:r>
      <w:bookmarkEnd w:id="561"/>
      <w:r w:rsidR="00042C6F">
        <w:t xml:space="preserve"> </w:t>
      </w:r>
    </w:p>
    <w:p w14:paraId="1340EC8D" w14:textId="77777777" w:rsidR="00F44688" w:rsidRDefault="00F44688" w:rsidP="00F44688">
      <w:pPr>
        <w:pStyle w:val="BodyText"/>
        <w:rPr>
          <w:b/>
          <w:bCs/>
          <w:u w:val="single"/>
          <w:lang w:val="en-GB" w:eastAsia="ja-JP"/>
        </w:rPr>
      </w:pPr>
    </w:p>
    <w:p w14:paraId="3093A7C0" w14:textId="451D61E2" w:rsidR="00F44688" w:rsidRPr="00A743A7" w:rsidRDefault="00F44688" w:rsidP="00F44688">
      <w:pPr>
        <w:pStyle w:val="BodyText"/>
        <w:rPr>
          <w:b/>
          <w:bCs/>
          <w:lang w:val="en-GB" w:eastAsia="ja-JP"/>
        </w:rPr>
      </w:pPr>
      <w:r w:rsidRPr="00A743A7">
        <w:rPr>
          <w:b/>
          <w:bCs/>
          <w:u w:val="single"/>
          <w:lang w:val="en-GB" w:eastAsia="ja-JP"/>
        </w:rPr>
        <w:t>OCB requirement</w:t>
      </w:r>
      <w:r w:rsidRPr="00A743A7">
        <w:rPr>
          <w:b/>
          <w:bCs/>
          <w:lang w:val="en-GB" w:eastAsia="ja-JP"/>
        </w:rPr>
        <w:t xml:space="preserve"> </w:t>
      </w:r>
    </w:p>
    <w:p w14:paraId="6604154D" w14:textId="68026250" w:rsidR="00F44688" w:rsidRDefault="00F44688" w:rsidP="0035235B">
      <w:pPr>
        <w:pStyle w:val="BodyText"/>
      </w:pPr>
      <w:r w:rsidRPr="00F00E76">
        <w:rPr>
          <w:lang w:val="en-GB"/>
        </w:rPr>
        <w:t xml:space="preserve">ETSI BRAN </w:t>
      </w:r>
      <w:r>
        <w:rPr>
          <w:lang w:val="en-GB"/>
        </w:rPr>
        <w:t xml:space="preserve">is in the process of developing </w:t>
      </w:r>
      <w:r w:rsidRPr="00F00E76">
        <w:rPr>
          <w:lang w:val="en-GB"/>
        </w:rPr>
        <w:t>harmonized standard</w:t>
      </w:r>
      <w:r>
        <w:rPr>
          <w:lang w:val="en-GB"/>
        </w:rPr>
        <w:t xml:space="preserve"> (s) that </w:t>
      </w:r>
      <w:r w:rsidRPr="001078E8">
        <w:rPr>
          <w:lang w:val="en-GB"/>
        </w:rPr>
        <w:t>specifies</w:t>
      </w:r>
      <w:r w:rsidRPr="00F00E76">
        <w:rPr>
          <w:lang w:val="en-GB"/>
        </w:rPr>
        <w:t xml:space="preserve"> requirements </w:t>
      </w:r>
      <w:r w:rsidRPr="001D5B10">
        <w:rPr>
          <w:lang w:val="en-GB"/>
        </w:rPr>
        <w:t>on unlicensed deployment</w:t>
      </w:r>
      <w:r w:rsidRPr="001078E8">
        <w:rPr>
          <w:lang w:val="en-GB"/>
        </w:rPr>
        <w:t xml:space="preserve"> in the </w:t>
      </w:r>
      <w:r>
        <w:rPr>
          <w:lang w:val="en-GB"/>
        </w:rPr>
        <w:t>60GHz band. In addition to PSD and EIRP limit requirement, ETSI EN 302 567 defines an occupied channel bandwidth (O</w:t>
      </w:r>
      <w:r w:rsidR="00D02DC5">
        <w:rPr>
          <w:lang w:val="en-GB"/>
        </w:rPr>
        <w:t>C</w:t>
      </w:r>
      <w:r>
        <w:rPr>
          <w:lang w:val="en-GB"/>
        </w:rPr>
        <w:t xml:space="preserve">B) requirement. </w:t>
      </w:r>
    </w:p>
    <w:p w14:paraId="33568D56" w14:textId="59756A55" w:rsidR="00F44688" w:rsidRPr="00A81070" w:rsidRDefault="00F44688" w:rsidP="00F44688">
      <w:pPr>
        <w:pStyle w:val="Caption"/>
        <w:jc w:val="center"/>
        <w:rPr>
          <w:rFonts w:ascii="Arial" w:hAnsi="Arial" w:cs="Arial"/>
          <w:lang w:val="en-GB"/>
        </w:rPr>
      </w:pPr>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CF206F">
        <w:rPr>
          <w:rFonts w:ascii="Arial" w:hAnsi="Arial" w:cs="Arial"/>
          <w:noProof/>
        </w:rPr>
        <w:t>5</w:t>
      </w:r>
      <w:r w:rsidRPr="00A81070">
        <w:rPr>
          <w:rFonts w:ascii="Arial" w:hAnsi="Arial" w:cs="Arial"/>
        </w:rPr>
        <w:fldChar w:fldCharType="end"/>
      </w:r>
      <w:r w:rsidRPr="00A81070">
        <w:rPr>
          <w:rFonts w:ascii="Arial" w:hAnsi="Arial" w:cs="Arial"/>
        </w:rPr>
        <w:t>: Occupied Channel Bandwidth Requirement in ETSI BRAN</w:t>
      </w:r>
    </w:p>
    <w:tbl>
      <w:tblPr>
        <w:tblStyle w:val="TableGrid"/>
        <w:tblW w:w="9817" w:type="dxa"/>
        <w:tblLook w:val="04A0" w:firstRow="1" w:lastRow="0" w:firstColumn="1" w:lastColumn="0" w:noHBand="0" w:noVBand="1"/>
      </w:tblPr>
      <w:tblGrid>
        <w:gridCol w:w="3100"/>
        <w:gridCol w:w="1989"/>
        <w:gridCol w:w="4728"/>
      </w:tblGrid>
      <w:tr w:rsidR="00155237" w14:paraId="4B1E11F6" w14:textId="77777777" w:rsidTr="00B10322">
        <w:trPr>
          <w:trHeight w:val="364"/>
        </w:trPr>
        <w:tc>
          <w:tcPr>
            <w:tcW w:w="3100" w:type="dxa"/>
            <w:vAlign w:val="center"/>
          </w:tcPr>
          <w:p w14:paraId="633FEECF" w14:textId="77777777" w:rsidR="00155237" w:rsidRPr="00B9506E" w:rsidRDefault="00155237" w:rsidP="00B10322">
            <w:pPr>
              <w:pStyle w:val="BodyText"/>
              <w:spacing w:before="40" w:after="40"/>
              <w:jc w:val="left"/>
              <w:rPr>
                <w:b/>
                <w:bCs/>
                <w:sz w:val="18"/>
                <w:szCs w:val="18"/>
              </w:rPr>
            </w:pPr>
            <w:r w:rsidRPr="00B9506E">
              <w:rPr>
                <w:b/>
                <w:bCs/>
                <w:sz w:val="18"/>
                <w:szCs w:val="18"/>
                <w:lang w:val="en-GB"/>
              </w:rPr>
              <w:t>Harmonized standard</w:t>
            </w:r>
          </w:p>
        </w:tc>
        <w:tc>
          <w:tcPr>
            <w:tcW w:w="1989" w:type="dxa"/>
            <w:vAlign w:val="center"/>
          </w:tcPr>
          <w:p w14:paraId="26B95A5C" w14:textId="77777777" w:rsidR="00155237" w:rsidRPr="00B9506E" w:rsidRDefault="00155237" w:rsidP="00B10322">
            <w:pPr>
              <w:pStyle w:val="BodyText"/>
              <w:spacing w:before="40" w:after="40"/>
              <w:jc w:val="left"/>
              <w:rPr>
                <w:sz w:val="18"/>
                <w:szCs w:val="18"/>
              </w:rPr>
            </w:pPr>
            <w:r w:rsidRPr="00B9506E">
              <w:rPr>
                <w:b/>
                <w:sz w:val="18"/>
                <w:szCs w:val="18"/>
              </w:rPr>
              <w:t>Frequency Band</w:t>
            </w:r>
          </w:p>
        </w:tc>
        <w:tc>
          <w:tcPr>
            <w:tcW w:w="4728" w:type="dxa"/>
            <w:vAlign w:val="center"/>
          </w:tcPr>
          <w:p w14:paraId="2FCC4920" w14:textId="77777777" w:rsidR="00155237" w:rsidRPr="00B9506E" w:rsidRDefault="00155237" w:rsidP="00B10322">
            <w:pPr>
              <w:pStyle w:val="BodyText"/>
              <w:spacing w:before="40" w:after="40"/>
              <w:jc w:val="left"/>
              <w:rPr>
                <w:rFonts w:cs="Arial"/>
                <w:b/>
                <w:sz w:val="18"/>
                <w:szCs w:val="18"/>
              </w:rPr>
            </w:pPr>
            <w:r w:rsidRPr="00B9506E">
              <w:rPr>
                <w:b/>
                <w:sz w:val="18"/>
                <w:szCs w:val="18"/>
              </w:rPr>
              <w:t>Occupied Bandwidth</w:t>
            </w:r>
          </w:p>
        </w:tc>
      </w:tr>
      <w:tr w:rsidR="00155237" w14:paraId="51F7C130" w14:textId="77777777" w:rsidTr="00B10322">
        <w:trPr>
          <w:trHeight w:val="620"/>
        </w:trPr>
        <w:tc>
          <w:tcPr>
            <w:tcW w:w="3100" w:type="dxa"/>
            <w:vAlign w:val="center"/>
          </w:tcPr>
          <w:p w14:paraId="5BA3F331" w14:textId="77777777" w:rsidR="00155237" w:rsidRPr="00C93618" w:rsidRDefault="00155237" w:rsidP="00B10322">
            <w:pPr>
              <w:pStyle w:val="BodyText"/>
              <w:spacing w:before="40" w:after="40"/>
              <w:jc w:val="left"/>
              <w:rPr>
                <w:sz w:val="18"/>
                <w:szCs w:val="18"/>
              </w:rPr>
            </w:pPr>
            <w:r w:rsidRPr="00C93618">
              <w:rPr>
                <w:sz w:val="18"/>
                <w:szCs w:val="18"/>
                <w:lang w:val="sv-SE"/>
              </w:rPr>
              <w:t>ETSI EN 302 567</w:t>
            </w:r>
          </w:p>
        </w:tc>
        <w:tc>
          <w:tcPr>
            <w:tcW w:w="1989" w:type="dxa"/>
            <w:vAlign w:val="center"/>
          </w:tcPr>
          <w:p w14:paraId="3BB57D10" w14:textId="77777777" w:rsidR="00155237" w:rsidRPr="00B9506E" w:rsidRDefault="00155237" w:rsidP="00B10322">
            <w:pPr>
              <w:pStyle w:val="BodyText"/>
              <w:spacing w:before="40" w:after="40"/>
              <w:jc w:val="center"/>
              <w:rPr>
                <w:sz w:val="18"/>
                <w:szCs w:val="18"/>
              </w:rPr>
            </w:pPr>
            <w:r w:rsidRPr="00B9506E">
              <w:rPr>
                <w:rFonts w:cs="Arial"/>
                <w:sz w:val="18"/>
                <w:szCs w:val="18"/>
              </w:rPr>
              <w:t>C1</w:t>
            </w:r>
          </w:p>
        </w:tc>
        <w:tc>
          <w:tcPr>
            <w:tcW w:w="4728" w:type="dxa"/>
            <w:vAlign w:val="center"/>
          </w:tcPr>
          <w:p w14:paraId="3C8B959F" w14:textId="77777777" w:rsidR="00155237" w:rsidRPr="00B9506E" w:rsidRDefault="00155237" w:rsidP="00B10322">
            <w:pPr>
              <w:pStyle w:val="BodyText"/>
              <w:spacing w:before="40" w:after="40"/>
              <w:jc w:val="left"/>
              <w:rPr>
                <w:sz w:val="18"/>
                <w:szCs w:val="18"/>
              </w:rPr>
            </w:pPr>
            <w:r w:rsidRPr="00B9506E">
              <w:rPr>
                <w:sz w:val="18"/>
                <w:szCs w:val="18"/>
              </w:rPr>
              <w:t>At least one mode</w:t>
            </w:r>
            <w:r w:rsidRPr="00B9506E">
              <w:rPr>
                <w:sz w:val="18"/>
                <w:szCs w:val="18"/>
                <w:lang w:val="en-US"/>
              </w:rPr>
              <w:t xml:space="preserve"> of transmission with a necessary bandwidth with at least 70%</w:t>
            </w:r>
          </w:p>
        </w:tc>
      </w:tr>
      <w:tr w:rsidR="00155237" w14:paraId="2D8D5960" w14:textId="77777777" w:rsidTr="00B10322">
        <w:trPr>
          <w:trHeight w:val="620"/>
        </w:trPr>
        <w:tc>
          <w:tcPr>
            <w:tcW w:w="3100" w:type="dxa"/>
            <w:vAlign w:val="center"/>
          </w:tcPr>
          <w:p w14:paraId="28BB32C5" w14:textId="77777777" w:rsidR="00155237" w:rsidRPr="00C93618" w:rsidRDefault="00155237" w:rsidP="00B10322">
            <w:pPr>
              <w:pStyle w:val="BodyText"/>
              <w:spacing w:before="40" w:after="40"/>
              <w:jc w:val="left"/>
              <w:rPr>
                <w:sz w:val="18"/>
                <w:szCs w:val="18"/>
              </w:rPr>
            </w:pPr>
            <w:r w:rsidRPr="00C93618">
              <w:rPr>
                <w:sz w:val="18"/>
                <w:szCs w:val="18"/>
                <w:lang w:val="sv-SE"/>
              </w:rPr>
              <w:t>ETSI EN 303 722 (draft)</w:t>
            </w:r>
          </w:p>
        </w:tc>
        <w:tc>
          <w:tcPr>
            <w:tcW w:w="1989" w:type="dxa"/>
            <w:vAlign w:val="center"/>
          </w:tcPr>
          <w:p w14:paraId="30976B5C" w14:textId="77777777" w:rsidR="00155237" w:rsidRPr="00B9506E" w:rsidRDefault="00155237" w:rsidP="00B10322">
            <w:pPr>
              <w:pStyle w:val="BodyText"/>
              <w:spacing w:before="40" w:after="40"/>
              <w:jc w:val="center"/>
              <w:rPr>
                <w:sz w:val="18"/>
                <w:szCs w:val="18"/>
              </w:rPr>
            </w:pPr>
            <w:r w:rsidRPr="00B9506E">
              <w:rPr>
                <w:sz w:val="18"/>
                <w:szCs w:val="18"/>
              </w:rPr>
              <w:t>C2 and C3</w:t>
            </w:r>
          </w:p>
        </w:tc>
        <w:tc>
          <w:tcPr>
            <w:tcW w:w="4728" w:type="dxa"/>
            <w:vAlign w:val="center"/>
          </w:tcPr>
          <w:p w14:paraId="3BFE8050" w14:textId="77777777" w:rsidR="00155237" w:rsidRPr="00B9506E" w:rsidRDefault="00155237" w:rsidP="00B10322">
            <w:pPr>
              <w:pStyle w:val="BodyText"/>
              <w:spacing w:before="40" w:after="40"/>
              <w:jc w:val="left"/>
              <w:rPr>
                <w:sz w:val="18"/>
                <w:szCs w:val="18"/>
              </w:rPr>
            </w:pPr>
            <w:r w:rsidRPr="00B9506E">
              <w:rPr>
                <w:sz w:val="18"/>
                <w:szCs w:val="18"/>
              </w:rPr>
              <w:t>Less than 100 % of the declared nominal channel bandwidth</w:t>
            </w:r>
          </w:p>
        </w:tc>
      </w:tr>
      <w:tr w:rsidR="00155237" w14:paraId="01CAF578" w14:textId="77777777" w:rsidTr="00B10322">
        <w:trPr>
          <w:trHeight w:val="336"/>
        </w:trPr>
        <w:tc>
          <w:tcPr>
            <w:tcW w:w="3100" w:type="dxa"/>
            <w:vAlign w:val="center"/>
          </w:tcPr>
          <w:p w14:paraId="22AA8953" w14:textId="77777777" w:rsidR="00155237" w:rsidRPr="00C93618" w:rsidRDefault="00155237" w:rsidP="00B10322">
            <w:pPr>
              <w:pStyle w:val="BodyText"/>
              <w:spacing w:before="40" w:after="40"/>
              <w:jc w:val="left"/>
              <w:rPr>
                <w:sz w:val="18"/>
                <w:szCs w:val="18"/>
              </w:rPr>
            </w:pPr>
            <w:r w:rsidRPr="00C93618">
              <w:rPr>
                <w:sz w:val="18"/>
                <w:szCs w:val="18"/>
                <w:lang w:val="sv-SE"/>
              </w:rPr>
              <w:t>EN 303 753</w:t>
            </w:r>
          </w:p>
        </w:tc>
        <w:tc>
          <w:tcPr>
            <w:tcW w:w="1989" w:type="dxa"/>
            <w:vAlign w:val="center"/>
          </w:tcPr>
          <w:p w14:paraId="0362F9A4" w14:textId="77777777" w:rsidR="00155237" w:rsidRPr="00B9506E" w:rsidRDefault="00155237" w:rsidP="00B10322">
            <w:pPr>
              <w:pStyle w:val="BodyText"/>
              <w:spacing w:before="40" w:after="40"/>
              <w:jc w:val="center"/>
              <w:rPr>
                <w:sz w:val="18"/>
                <w:szCs w:val="18"/>
              </w:rPr>
            </w:pPr>
            <w:r w:rsidRPr="00B9506E">
              <w:rPr>
                <w:sz w:val="18"/>
                <w:szCs w:val="18"/>
              </w:rPr>
              <w:t>C2</w:t>
            </w:r>
          </w:p>
        </w:tc>
        <w:tc>
          <w:tcPr>
            <w:tcW w:w="4728" w:type="dxa"/>
            <w:vAlign w:val="center"/>
          </w:tcPr>
          <w:p w14:paraId="070FBCCF" w14:textId="77777777" w:rsidR="00155237" w:rsidRPr="00B9506E" w:rsidRDefault="00155237" w:rsidP="00B10322">
            <w:pPr>
              <w:pStyle w:val="FL"/>
              <w:spacing w:before="40" w:after="40"/>
              <w:jc w:val="left"/>
              <w:rPr>
                <w:b w:val="0"/>
                <w:bCs/>
                <w:sz w:val="18"/>
                <w:szCs w:val="18"/>
              </w:rPr>
            </w:pPr>
            <w:r w:rsidRPr="00B9506E">
              <w:rPr>
                <w:b w:val="0"/>
                <w:bCs/>
                <w:sz w:val="18"/>
                <w:szCs w:val="18"/>
              </w:rPr>
              <w:t>(not decided yet)</w:t>
            </w:r>
          </w:p>
        </w:tc>
      </w:tr>
    </w:tbl>
    <w:p w14:paraId="0CEBF9E8" w14:textId="77777777" w:rsidR="00155237" w:rsidRDefault="00155237" w:rsidP="00F44688">
      <w:pPr>
        <w:pStyle w:val="BodyText"/>
        <w:rPr>
          <w:lang w:val="en-GB"/>
        </w:rPr>
      </w:pPr>
    </w:p>
    <w:p w14:paraId="1A78DCE8" w14:textId="6237ACC5" w:rsidR="00F44688" w:rsidRDefault="00F44688" w:rsidP="00F44688">
      <w:pPr>
        <w:pStyle w:val="BodyText"/>
      </w:pPr>
      <w:r w:rsidRPr="00900E5C">
        <w:rPr>
          <w:lang w:val="en-GB"/>
        </w:rPr>
        <w:t>EN 302 567</w:t>
      </w:r>
      <w:r>
        <w:rPr>
          <w:lang w:val="en-GB"/>
        </w:rPr>
        <w:t xml:space="preserve"> does not define a nominal channel bandwidth or any channelization within the 57-71 GHz frequency range. In fact, a device complaint with EN 302 567 can declare one or more nominal channel bandwidth. Nonetheless, for every declared nominal bandwidth, </w:t>
      </w:r>
      <w:r w:rsidRPr="00BA10F5">
        <w:t xml:space="preserve">the device is required to support </w:t>
      </w:r>
      <w:r w:rsidRPr="00F94015">
        <w:rPr>
          <w:b/>
          <w:bCs/>
        </w:rPr>
        <w:t>at least</w:t>
      </w:r>
      <w:r w:rsidRPr="00BA10F5">
        <w:t xml:space="preserve"> </w:t>
      </w:r>
      <w:r w:rsidRPr="00BA10F5">
        <w:rPr>
          <w:b/>
        </w:rPr>
        <w:t>one</w:t>
      </w:r>
      <w:r w:rsidRPr="00BA10F5">
        <w:t xml:space="preserve"> mode of transmission where the transmission occupy at least 70% of the declared nominal channel bandwidth. </w:t>
      </w:r>
      <w:r>
        <w:t xml:space="preserve">Note that the requirement does not mandate that </w:t>
      </w:r>
      <w:r w:rsidRPr="00BA10F5">
        <w:t xml:space="preserve">all transmissions by the device must occupy more than 70% of declared nominal channel bandwidth. </w:t>
      </w:r>
      <w:r>
        <w:t xml:space="preserve">The existing NR design is flexible enough to support transmission of physical channels (PxSCH, PDCCH, SRS, etc..) over the full bandwidth of operating. Therefore, NR already includes the tools to fulfill OCB requirement without any need to change the existing design.  </w:t>
      </w:r>
      <w:r w:rsidRPr="00BA10F5">
        <w:t xml:space="preserve"> </w:t>
      </w:r>
    </w:p>
    <w:p w14:paraId="29BF80C2" w14:textId="77777777" w:rsidR="00F44688" w:rsidRDefault="00F44688" w:rsidP="00F44688">
      <w:pPr>
        <w:pStyle w:val="BodyText"/>
        <w:rPr>
          <w:lang w:val="en-GB"/>
        </w:rPr>
      </w:pPr>
    </w:p>
    <w:p w14:paraId="32BB491A" w14:textId="77777777" w:rsidR="00F44688" w:rsidRPr="001B36D6" w:rsidRDefault="00F44688" w:rsidP="0074544F">
      <w:pPr>
        <w:pStyle w:val="Observation"/>
        <w:overflowPunct/>
        <w:autoSpaceDE/>
        <w:autoSpaceDN/>
        <w:adjustRightInd/>
        <w:spacing w:line="259" w:lineRule="auto"/>
        <w:ind w:left="1710" w:hanging="1710"/>
        <w:textAlignment w:val="auto"/>
      </w:pPr>
      <w:bookmarkStart w:id="562" w:name="_Toc47712034"/>
      <w:r>
        <w:rPr>
          <w:lang w:val="en-GB"/>
        </w:rPr>
        <w:t xml:space="preserve">To fulfil the OCB requirement </w:t>
      </w:r>
      <w:r w:rsidRPr="00F00E76">
        <w:rPr>
          <w:lang w:val="en-GB"/>
        </w:rPr>
        <w:t xml:space="preserve">specified in </w:t>
      </w:r>
      <w:r w:rsidRPr="001078E8">
        <w:rPr>
          <w:lang w:val="en-GB"/>
        </w:rPr>
        <w:t>EN 302 567, for each of the declared channel bandwidth</w:t>
      </w:r>
      <w:r>
        <w:rPr>
          <w:lang w:val="en-GB"/>
        </w:rPr>
        <w:t>s</w:t>
      </w:r>
      <w:r w:rsidRPr="001078E8">
        <w:rPr>
          <w:lang w:val="en-GB"/>
        </w:rPr>
        <w:t>, the device has to support at least one mode of transmission where the transmission occupies at least 70% of the declared channel bandwidth.</w:t>
      </w:r>
      <w:bookmarkEnd w:id="562"/>
      <w:r w:rsidRPr="001078E8">
        <w:rPr>
          <w:lang w:val="en-GB"/>
        </w:rPr>
        <w:t xml:space="preserve"> </w:t>
      </w:r>
      <w:bookmarkStart w:id="563" w:name="_Toc45618317"/>
      <w:bookmarkStart w:id="564" w:name="_Toc45618318"/>
      <w:bookmarkStart w:id="565" w:name="_Toc45618319"/>
      <w:bookmarkStart w:id="566" w:name="_Toc45618320"/>
      <w:bookmarkStart w:id="567" w:name="_Toc45618321"/>
      <w:bookmarkStart w:id="568" w:name="_Toc45618322"/>
      <w:bookmarkEnd w:id="563"/>
      <w:bookmarkEnd w:id="564"/>
      <w:bookmarkEnd w:id="565"/>
      <w:bookmarkEnd w:id="566"/>
      <w:bookmarkEnd w:id="567"/>
      <w:bookmarkEnd w:id="568"/>
    </w:p>
    <w:p w14:paraId="47FBF0FD" w14:textId="04B4463B" w:rsidR="00595047" w:rsidRPr="00814DDC" w:rsidRDefault="00F44688" w:rsidP="00724CC7">
      <w:pPr>
        <w:pStyle w:val="Observation"/>
        <w:rPr>
          <w:lang w:val="en-GB"/>
        </w:rPr>
      </w:pPr>
      <w:bookmarkStart w:id="569" w:name="_Toc47712035"/>
      <w:r>
        <w:rPr>
          <w:lang w:val="en-GB"/>
        </w:rPr>
        <w:t xml:space="preserve">Existing NR design </w:t>
      </w:r>
      <w:r>
        <w:t xml:space="preserve">fulfills the </w:t>
      </w:r>
      <w:r w:rsidRPr="00900E5C">
        <w:rPr>
          <w:lang w:val="en-GB"/>
        </w:rPr>
        <w:t>EN 302 567</w:t>
      </w:r>
      <w:r>
        <w:rPr>
          <w:lang w:val="en-GB"/>
        </w:rPr>
        <w:t xml:space="preserve"> </w:t>
      </w:r>
      <w:r>
        <w:t>OCB requirement</w:t>
      </w:r>
      <w:bookmarkEnd w:id="569"/>
      <w:r>
        <w:t xml:space="preserve"> </w:t>
      </w:r>
    </w:p>
    <w:p w14:paraId="470CE7B8" w14:textId="77777777" w:rsidR="00270727" w:rsidRPr="00814DDC" w:rsidRDefault="00270727" w:rsidP="0074544F">
      <w:pPr>
        <w:pStyle w:val="Observation"/>
        <w:numPr>
          <w:ilvl w:val="0"/>
          <w:numId w:val="0"/>
        </w:numPr>
        <w:ind w:left="1701" w:hanging="1701"/>
        <w:rPr>
          <w:lang w:val="en-GB"/>
        </w:rPr>
      </w:pPr>
    </w:p>
    <w:p w14:paraId="0DB6C408" w14:textId="2EB90E01" w:rsidR="00BD5CCB" w:rsidRDefault="00BD5CCB" w:rsidP="00BD5CCB">
      <w:pPr>
        <w:pStyle w:val="Heading2"/>
      </w:pPr>
      <w:bookmarkStart w:id="570" w:name="_Toc47530182"/>
      <w:r>
        <w:t>4.3</w:t>
      </w:r>
      <w:r>
        <w:tab/>
        <w:t xml:space="preserve">Scheduling </w:t>
      </w:r>
      <w:r w:rsidR="008C3AD3">
        <w:t>r</w:t>
      </w:r>
      <w:r>
        <w:t xml:space="preserve">equest </w:t>
      </w:r>
      <w:r w:rsidR="008C3AD3">
        <w:t>e</w:t>
      </w:r>
      <w:r>
        <w:t>nhancements</w:t>
      </w:r>
      <w:bookmarkEnd w:id="570"/>
    </w:p>
    <w:p w14:paraId="0A1ED089" w14:textId="77777777" w:rsidR="00BD5CCB" w:rsidRPr="0035235B" w:rsidRDefault="00BD5CCB" w:rsidP="00BD5CCB">
      <w:pPr>
        <w:pStyle w:val="BodyText"/>
      </w:pPr>
      <w:r w:rsidRPr="0035235B">
        <w:t>NR operation in mm-wave bands heavily relies on beamforming for both transmission and reception. For UL transmission, a spatial relation needs to be established and understood by both UE and gNB before transmission in the UL is conducted. A spatial relation is defined between an UL channel/reference signal (PUSCH, PUCCH, SRS) and either a DL reference signal (CSI-RS, SS/PBCH block) or another UL reference signal (SRS). If UL channel/signal A is spatially related to reference signal B, it means the UE should beamform A in the same way as it received/transmitted B.</w:t>
      </w:r>
      <w:r>
        <w:t xml:space="preserve"> </w:t>
      </w:r>
      <w:r w:rsidRPr="0035235B">
        <w:t xml:space="preserve">By establishing a spatial relation, the UE gets to know in which direction to beamform its transmission signal towards the targeted gNB, and the gNB also understands how to tune its RX beam towards the UE. A number of issues are identified below regarding UL beamforming in the scenario of periodic Scheduling Request transmission on PUCCH. </w:t>
      </w:r>
    </w:p>
    <w:p w14:paraId="5B32C660" w14:textId="77777777" w:rsidR="00BD5CCB" w:rsidRDefault="00BD5CCB" w:rsidP="00BD5CCB">
      <w:pPr>
        <w:pStyle w:val="BodyText"/>
      </w:pPr>
      <w:r w:rsidRPr="0035235B">
        <w:t xml:space="preserve">Firstly, </w:t>
      </w:r>
      <w:r>
        <w:t xml:space="preserve">an </w:t>
      </w:r>
      <w:r w:rsidRPr="0035235B">
        <w:t xml:space="preserve">SR </w:t>
      </w:r>
      <w:r>
        <w:t>transmission on a particular period of the configured periodic PUCCH is initiated by a</w:t>
      </w:r>
      <w:r w:rsidRPr="0035235B">
        <w:t xml:space="preserve"> UE</w:t>
      </w:r>
      <w:r>
        <w:t xml:space="preserve"> and is transmitted according to the currently active spatial relation for that UE. Since the gNB must listen for SRs in </w:t>
      </w:r>
      <w:r>
        <w:lastRenderedPageBreak/>
        <w:t>many different directions, it may not know from which direction a particular UE will transmit at any given time</w:t>
      </w:r>
      <w:r w:rsidRPr="0035235B">
        <w:t xml:space="preserve">, hence it might not be able to tune its RX beam properly towards </w:t>
      </w:r>
      <w:r>
        <w:t>that</w:t>
      </w:r>
      <w:r w:rsidRPr="0035235B">
        <w:t xml:space="preserve"> UE</w:t>
      </w:r>
      <w:r>
        <w:t xml:space="preserve"> when it transmits an SR autonomously</w:t>
      </w:r>
      <w:r w:rsidRPr="0035235B">
        <w:t>. Because of this beam misalignment, the UE might need to re-transmit SR many times before it is finally heard by the gNB. There is also a considerable risk that the UE might reach the limit of SR transmission attempts thus falling back to transmit SR over RACH. As a consequence of this beam mis-alignment phenomenon, SR and the overall UL data transmission latency can be very high.</w:t>
      </w:r>
    </w:p>
    <w:p w14:paraId="45F129F7" w14:textId="0C0CC213" w:rsidR="00BD5CCB" w:rsidRPr="0035235B" w:rsidRDefault="085B2135" w:rsidP="00BD5CCB">
      <w:pPr>
        <w:pStyle w:val="BodyText"/>
      </w:pPr>
      <w:r>
        <w:rPr>
          <w:noProof/>
        </w:rPr>
        <w:drawing>
          <wp:inline distT="0" distB="0" distL="0" distR="0" wp14:anchorId="764EE1AF" wp14:editId="7996B4B6">
            <wp:extent cx="6120765" cy="2040255"/>
            <wp:effectExtent l="0" t="0" r="0" b="0"/>
            <wp:docPr id="16469876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0">
                      <a:extLst>
                        <a:ext uri="{28A0092B-C50C-407E-A947-70E740481C1C}">
                          <a14:useLocalDpi xmlns:a14="http://schemas.microsoft.com/office/drawing/2010/main" val="0"/>
                        </a:ext>
                      </a:extLst>
                    </a:blip>
                    <a:stretch>
                      <a:fillRect/>
                    </a:stretch>
                  </pic:blipFill>
                  <pic:spPr>
                    <a:xfrm>
                      <a:off x="0" y="0"/>
                      <a:ext cx="6120765" cy="2040255"/>
                    </a:xfrm>
                    <a:prstGeom prst="rect">
                      <a:avLst/>
                    </a:prstGeom>
                  </pic:spPr>
                </pic:pic>
              </a:graphicData>
            </a:graphic>
          </wp:inline>
        </w:drawing>
      </w:r>
    </w:p>
    <w:p w14:paraId="4FE3C172" w14:textId="77777777" w:rsidR="00BD5CCB" w:rsidRPr="0035235B" w:rsidRDefault="00BD5CCB" w:rsidP="00BD5CCB">
      <w:pPr>
        <w:pStyle w:val="BodyText"/>
      </w:pPr>
      <w:r w:rsidRPr="0035235B">
        <w:t xml:space="preserve">Secondly, </w:t>
      </w:r>
      <w:r>
        <w:t xml:space="preserve">a </w:t>
      </w:r>
      <w:r w:rsidRPr="0035235B">
        <w:t>gNB with analog beamforming capability can only listen to UL transmission in one direction (per antenna panel) at a time. To solve this, the gNB can periodically sweep through all beams in the cell for SR detection in SR transmission occasions. In such an application scenario, SR latency is not only determined by the SR periodicity configured to the UEs, but also by the periodicity of SR sweeping in the gNB. Imagine in a cell where a large number of narrow beams are configured, it will take many slots for the gNB to beam-sweep through the entire cell for SR detection. Statistically the SR latency can become extremely high. This can be a big issue for some devices or applications with tight latency requirement.</w:t>
      </w:r>
    </w:p>
    <w:p w14:paraId="6F810EA6" w14:textId="77777777" w:rsidR="00BD5CCB" w:rsidRDefault="00BD5CCB" w:rsidP="00BD5CCB">
      <w:pPr>
        <w:pStyle w:val="BodyText"/>
      </w:pPr>
      <w:r w:rsidRPr="0035235B">
        <w:t xml:space="preserve">Thirdly, SR resources for multiple UEs can be configured in same OFDM symbol(s) by means of frequency or code multiplexing to improve resource efficiency. </w:t>
      </w:r>
      <w:r>
        <w:t xml:space="preserve">A </w:t>
      </w:r>
      <w:r w:rsidRPr="0035235B">
        <w:t xml:space="preserve">gNB with analog beamforming capability should </w:t>
      </w:r>
      <w:r>
        <w:t xml:space="preserve">then </w:t>
      </w:r>
      <w:r w:rsidRPr="0035235B">
        <w:t>multiplex SR resources in the same time occasion only for UEs located in the same beam coverage area, so that the gNB can detect the SR transmissions from the UEs with the same RX beam. When the UEs are moving around in the cell across different beam coverage area, gNB needs to frequently re-configure SR resources for the UEs by dedicated RRC signaling, which can contribute to an excessive signaling overhead to the system.</w:t>
      </w:r>
    </w:p>
    <w:p w14:paraId="451BE726" w14:textId="180C0605" w:rsidR="00BD5CCB" w:rsidRDefault="00BD5CCB" w:rsidP="00BD5CCB">
      <w:pPr>
        <w:pStyle w:val="BodyText"/>
      </w:pPr>
      <w:r>
        <w:t>To illustrate this issue,</w:t>
      </w:r>
      <w:r w:rsidRPr="00C64CDD">
        <w:t xml:space="preserve"> </w:t>
      </w:r>
      <w:r>
        <w:fldChar w:fldCharType="begin"/>
      </w:r>
      <w:r>
        <w:instrText xml:space="preserve"> REF _Ref46480032 \h </w:instrText>
      </w:r>
      <w:r w:rsidR="00CF206F">
        <w:fldChar w:fldCharType="separate"/>
      </w:r>
      <w:r w:rsidR="00CF206F">
        <w:rPr>
          <w:b/>
          <w:bCs/>
        </w:rPr>
        <w:t>Error! Reference source not found.</w:t>
      </w:r>
      <w:r>
        <w:fldChar w:fldCharType="end"/>
      </w:r>
      <w:r>
        <w:t xml:space="preserve"> shows two UEs</w:t>
      </w:r>
      <w:r w:rsidRPr="00D45DAA">
        <w:t xml:space="preserve"> </w:t>
      </w:r>
      <w:r>
        <w:t xml:space="preserve">each </w:t>
      </w:r>
      <w:r w:rsidRPr="00D45DAA">
        <w:t>configured with a single SR resource</w:t>
      </w:r>
      <w:r>
        <w:t xml:space="preserve"> and the two resources are frequency or code division multiplexed, i.e., occur in the same time occasion (OFDM symbol). When a UE moves into the coverage of another beam, the </w:t>
      </w:r>
      <w:r w:rsidRPr="00A417B5">
        <w:t xml:space="preserve">gNB updates </w:t>
      </w:r>
      <w:r>
        <w:t xml:space="preserve">the </w:t>
      </w:r>
      <w:r w:rsidRPr="00A417B5">
        <w:t xml:space="preserve">spatial relation for the configured SR resource </w:t>
      </w:r>
      <w:r w:rsidRPr="00BB49EF">
        <w:t>via MAC-CE</w:t>
      </w:r>
      <w:r>
        <w:t xml:space="preserve"> after receiving measurement report(s) from the UE. This </w:t>
      </w:r>
      <w:r w:rsidRPr="00C64CDD">
        <w:t xml:space="preserve">mechanism is not friendly </w:t>
      </w:r>
      <w:r>
        <w:t>to</w:t>
      </w:r>
      <w:r w:rsidRPr="00C64CDD">
        <w:t xml:space="preserve"> </w:t>
      </w:r>
      <w:r>
        <w:t xml:space="preserve">frequency/code division multiplexing of </w:t>
      </w:r>
      <w:r w:rsidRPr="00C64CDD">
        <w:t>PUCCH resource</w:t>
      </w:r>
      <w:r>
        <w:t>s in the context of analog beamforming</w:t>
      </w:r>
      <w:r w:rsidRPr="00C64CDD">
        <w:t>.</w:t>
      </w:r>
      <w:r>
        <w:t xml:space="preserve"> </w:t>
      </w:r>
      <w:r w:rsidRPr="00C64CDD">
        <w:t xml:space="preserve">The example in </w:t>
      </w:r>
      <w:r>
        <w:fldChar w:fldCharType="begin"/>
      </w:r>
      <w:r>
        <w:instrText xml:space="preserve"> REF _Ref46480032 \h </w:instrText>
      </w:r>
      <w:r w:rsidR="00CF206F">
        <w:fldChar w:fldCharType="separate"/>
      </w:r>
      <w:r w:rsidR="00CF206F">
        <w:rPr>
          <w:b/>
          <w:bCs/>
        </w:rPr>
        <w:t>Error! Reference source not found.</w:t>
      </w:r>
      <w:r>
        <w:fldChar w:fldCharType="end"/>
      </w:r>
      <w:r>
        <w:t xml:space="preserve"> </w:t>
      </w:r>
      <w:r w:rsidRPr="00C64CDD">
        <w:t xml:space="preserve">starts with both UE1 and UE2 located in the SSB1 coverage area. </w:t>
      </w:r>
      <w:r>
        <w:t xml:space="preserve">Initially, the </w:t>
      </w:r>
      <w:r w:rsidRPr="00C64CDD">
        <w:t xml:space="preserve">gNB </w:t>
      </w:r>
      <w:r>
        <w:t>configures</w:t>
      </w:r>
      <w:r w:rsidRPr="00C64CDD">
        <w:t xml:space="preserve"> </w:t>
      </w:r>
      <w:r>
        <w:t xml:space="preserve">the spatial relation for both UEs as </w:t>
      </w:r>
      <w:r w:rsidRPr="00C64CDD">
        <w:t>SSB1, which works fine until UE1 starts to move.</w:t>
      </w:r>
      <w:r>
        <w:t xml:space="preserve"> If t</w:t>
      </w:r>
      <w:r w:rsidRPr="00C64CDD">
        <w:t xml:space="preserve">he UE moves </w:t>
      </w:r>
      <w:r>
        <w:t xml:space="preserve">into the coverage area of </w:t>
      </w:r>
      <w:r w:rsidRPr="00C64CDD">
        <w:t xml:space="preserve">SSB2, </w:t>
      </w:r>
      <w:r>
        <w:t xml:space="preserve">the </w:t>
      </w:r>
      <w:r w:rsidRPr="00C64CDD">
        <w:t xml:space="preserve">gNB updates </w:t>
      </w:r>
      <w:r>
        <w:t xml:space="preserve">the </w:t>
      </w:r>
      <w:r w:rsidRPr="00C64CDD">
        <w:t>UE1 SR resource with spatial relation to SSB2</w:t>
      </w:r>
      <w:r>
        <w:t xml:space="preserve"> via MAC-CE</w:t>
      </w:r>
      <w:r w:rsidRPr="00C64CDD">
        <w:t xml:space="preserve">. </w:t>
      </w:r>
      <w:r>
        <w:t>The trouble is that</w:t>
      </w:r>
      <w:r w:rsidRPr="00C64CDD">
        <w:t xml:space="preserve"> SRs from </w:t>
      </w:r>
      <w:r>
        <w:t xml:space="preserve">either or both </w:t>
      </w:r>
      <w:r w:rsidRPr="00C64CDD">
        <w:t>UE1 and UE2 are transmitted in the same OFDM symbol, but from different directions</w:t>
      </w:r>
      <w:r>
        <w:t xml:space="preserve"> since UE1 and UE2 now </w:t>
      </w:r>
      <w:r w:rsidR="00835A15">
        <w:t>have</w:t>
      </w:r>
      <w:r>
        <w:t xml:space="preserve"> different spatial relations</w:t>
      </w:r>
      <w:r w:rsidRPr="00C64CDD">
        <w:t xml:space="preserve">. It will be difficult for gNB to detect </w:t>
      </w:r>
      <w:r>
        <w:t xml:space="preserve">the </w:t>
      </w:r>
      <w:r w:rsidRPr="00C64CDD">
        <w:t>SR from both directions at the same time with analog beamforming capability.</w:t>
      </w:r>
      <w:r>
        <w:t xml:space="preserve"> </w:t>
      </w:r>
      <w:r w:rsidRPr="00C64CDD">
        <w:t>To solve the problem in the Rel-15 framework, the gNB</w:t>
      </w:r>
      <w:r>
        <w:t xml:space="preserve"> should RRC re-configure the SR resource for UE1 to be in a different OFDM symbol. However, this can lead to excessive RRC signaling when considering all UEs movement within a cell.</w:t>
      </w:r>
    </w:p>
    <w:p w14:paraId="5A7F658F" w14:textId="607E0879" w:rsidR="00BD5CCB" w:rsidRDefault="085B2135" w:rsidP="00BD5CCB">
      <w:pPr>
        <w:pStyle w:val="BodyText"/>
        <w:jc w:val="center"/>
      </w:pPr>
      <w:r>
        <w:rPr>
          <w:noProof/>
        </w:rPr>
        <w:drawing>
          <wp:inline distT="0" distB="0" distL="0" distR="0" wp14:anchorId="666C32B8" wp14:editId="2180A9C2">
            <wp:extent cx="4572000" cy="1124712"/>
            <wp:effectExtent l="0" t="0" r="0" b="0"/>
            <wp:docPr id="4283123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1">
                      <a:extLst>
                        <a:ext uri="{28A0092B-C50C-407E-A947-70E740481C1C}">
                          <a14:useLocalDpi xmlns:a14="http://schemas.microsoft.com/office/drawing/2010/main" val="0"/>
                        </a:ext>
                      </a:extLst>
                    </a:blip>
                    <a:stretch>
                      <a:fillRect/>
                    </a:stretch>
                  </pic:blipFill>
                  <pic:spPr>
                    <a:xfrm>
                      <a:off x="0" y="0"/>
                      <a:ext cx="4572000" cy="1124712"/>
                    </a:xfrm>
                    <a:prstGeom prst="rect">
                      <a:avLst/>
                    </a:prstGeom>
                  </pic:spPr>
                </pic:pic>
              </a:graphicData>
            </a:graphic>
          </wp:inline>
        </w:drawing>
      </w:r>
    </w:p>
    <w:p w14:paraId="64680719" w14:textId="19EA7946" w:rsidR="00BD5CCB" w:rsidRPr="00F676BA" w:rsidRDefault="00BD5CCB" w:rsidP="00BD5CCB">
      <w:pPr>
        <w:pStyle w:val="TF"/>
        <w:keepLines w:val="0"/>
        <w:rPr>
          <w:lang w:val="en-US"/>
        </w:rPr>
      </w:pPr>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CF206F">
        <w:rPr>
          <w:noProof/>
          <w:lang w:val="en-US"/>
        </w:rPr>
        <w:t>33</w:t>
      </w:r>
      <w:r w:rsidRPr="00F676BA">
        <w:rPr>
          <w:lang w:val="en-US"/>
        </w:rPr>
        <w:fldChar w:fldCharType="end"/>
      </w:r>
      <w:r w:rsidRPr="00F676BA">
        <w:rPr>
          <w:lang w:val="en-US"/>
        </w:rPr>
        <w:t xml:space="preserve">: </w:t>
      </w:r>
      <w:r>
        <w:rPr>
          <w:lang w:val="en-US"/>
        </w:rPr>
        <w:t>Spatial relationship update mechanism in Rel-15</w:t>
      </w:r>
    </w:p>
    <w:p w14:paraId="05E5365B" w14:textId="77777777" w:rsidR="00BD5CCB" w:rsidRDefault="00BD5CCB" w:rsidP="00BD5CCB">
      <w:pPr>
        <w:pStyle w:val="BodyText"/>
      </w:pPr>
    </w:p>
    <w:p w14:paraId="45630698" w14:textId="77777777" w:rsidR="00BD5CCB" w:rsidRPr="004E1EE6" w:rsidRDefault="00BD5CCB" w:rsidP="00BD5CCB">
      <w:pPr>
        <w:pStyle w:val="BodyText"/>
        <w:rPr>
          <w:b/>
          <w:bCs/>
          <w:u w:val="single"/>
        </w:rPr>
      </w:pPr>
      <w:r>
        <w:rPr>
          <w:b/>
          <w:bCs/>
          <w:u w:val="single"/>
        </w:rPr>
        <w:lastRenderedPageBreak/>
        <w:t xml:space="preserve">Enhancements to SR configuration and </w:t>
      </w:r>
      <w:r w:rsidRPr="004E1EE6">
        <w:rPr>
          <w:b/>
          <w:bCs/>
          <w:u w:val="single"/>
        </w:rPr>
        <w:t>spatial relationship management</w:t>
      </w:r>
    </w:p>
    <w:p w14:paraId="0300BE47" w14:textId="77777777" w:rsidR="00BD5CCB" w:rsidRDefault="00BD5CCB" w:rsidP="00BD5CCB">
      <w:pPr>
        <w:pStyle w:val="BodyText"/>
      </w:pPr>
      <w:r>
        <w:t xml:space="preserve">Clearly, in a system with heavy reliance on analog beamforming, it is beneficial to consider enhancements to the Rel-15 SR configuration and spatial relation update mechanisms with the goal of avoiding excessive RRC signaling and simultaneously reducing the latency in the SR procedure. </w:t>
      </w:r>
    </w:p>
    <w:p w14:paraId="4E906117" w14:textId="77777777" w:rsidR="00BD5CCB" w:rsidRDefault="00BD5CCB" w:rsidP="00BD5CCB">
      <w:pPr>
        <w:pStyle w:val="BodyText"/>
      </w:pPr>
      <w:r>
        <w:t xml:space="preserve">One possible approach is to configure more than one </w:t>
      </w:r>
      <w:r>
        <w:rPr>
          <w:rStyle w:val="IvDbodytextChar"/>
        </w:rPr>
        <w:t>periodic SR (PUCCH) resource for a UE, where a subset of the SR resources occur in a different time occasions (OFDM symbols) and each resource is "associated" with a different spatial direction, e.g., associated with a different SS/PBCH block or different CSI-RS. This is analogous to the SSB-to-RACH occasion association inherent in Rel-15.</w:t>
      </w:r>
    </w:p>
    <w:p w14:paraId="13E98B26" w14:textId="77777777" w:rsidR="00BD5CCB" w:rsidRDefault="00BD5CCB" w:rsidP="00BD5CCB">
      <w:pPr>
        <w:pStyle w:val="BodyText"/>
      </w:pPr>
      <w:r>
        <w:t>At any given time, one or multiple of the configured periodic uplink SR resources are indicated as "active" by the gNB in a UE-specific manner, e.g., by MAC-CE signaling similar to the MAC-CE spatial relation update mechanism in Rel-15. Only the configured SR resource(s) that are active should be used for SR transmissions by the UE. For a particular active SR resource, the SR transmission from the UE is based on the spatial relation corresponding to the associated SSB/CSI-RS for that resource.</w:t>
      </w:r>
    </w:p>
    <w:p w14:paraId="018BE87B" w14:textId="77777777" w:rsidR="00BD5CCB" w:rsidRDefault="00BD5CCB" w:rsidP="00BD5CCB">
      <w:pPr>
        <w:pStyle w:val="BodyText"/>
      </w:pPr>
      <w:r>
        <w:t>As a UE moves from one SSB or CSI-RS beam coverage area to another, the gNB updates which SR resource(s) are active for that UE. The gNB may determine the active SR resource(s) for the UE based on CSI measurement reports from the UE, e.g., L1-RSRP, or based on gNB measurement on SRS(s) transmitted by the UE.</w:t>
      </w:r>
    </w:p>
    <w:p w14:paraId="6F626895" w14:textId="0D5B46D8" w:rsidR="00BD5CCB" w:rsidRDefault="00BD5CCB" w:rsidP="00BD5CCB">
      <w:pPr>
        <w:pStyle w:val="BodyText"/>
      </w:pPr>
      <w:r>
        <w:t>In this way, there is a common understanding between the gNB and the UE from which direction an SR will be transmitted at any given time. This mitigates the beam misalignment problem discussed above, thus simultaneously reducing the SR latency and unnecessary SR re-transmissions.</w:t>
      </w:r>
    </w:p>
    <w:p w14:paraId="01B979CE" w14:textId="77777777" w:rsidR="00327868" w:rsidRDefault="00327868" w:rsidP="00BD5CCB">
      <w:pPr>
        <w:pStyle w:val="BodyText"/>
      </w:pPr>
    </w:p>
    <w:p w14:paraId="2D531B49" w14:textId="77777777" w:rsidR="00BD5CCB" w:rsidRDefault="00BD5CCB" w:rsidP="00BD5CCB">
      <w:pPr>
        <w:pStyle w:val="Proposal"/>
      </w:pPr>
      <w:bookmarkStart w:id="571" w:name="_Toc47712048"/>
      <w:r>
        <w:t>Consider enhancements to SR (PUCCH) resource configuration and spatial relation management to reduce UL data latency</w:t>
      </w:r>
      <w:bookmarkEnd w:id="571"/>
    </w:p>
    <w:p w14:paraId="684A87F9" w14:textId="77777777" w:rsidR="00BD5CCB" w:rsidRDefault="00BD5CCB" w:rsidP="00BD5CCB">
      <w:pPr>
        <w:pStyle w:val="BodyText"/>
      </w:pPr>
    </w:p>
    <w:p w14:paraId="0E4F4E1A" w14:textId="77777777" w:rsidR="00BD5CCB" w:rsidRPr="0035235B" w:rsidRDefault="00BD5CCB" w:rsidP="00BD5CCB">
      <w:pPr>
        <w:pStyle w:val="BodyText"/>
        <w:rPr>
          <w:b/>
          <w:u w:val="single"/>
        </w:rPr>
      </w:pPr>
      <w:r w:rsidRPr="0035235B">
        <w:rPr>
          <w:b/>
          <w:u w:val="single"/>
        </w:rPr>
        <w:t xml:space="preserve">gNB </w:t>
      </w:r>
      <w:r>
        <w:rPr>
          <w:b/>
          <w:u w:val="single"/>
        </w:rPr>
        <w:t>I</w:t>
      </w:r>
      <w:r w:rsidRPr="0035235B">
        <w:rPr>
          <w:b/>
          <w:u w:val="single"/>
        </w:rPr>
        <w:t xml:space="preserve">nitiated </w:t>
      </w:r>
      <w:r>
        <w:rPr>
          <w:b/>
          <w:u w:val="single"/>
        </w:rPr>
        <w:t>P</w:t>
      </w:r>
      <w:r w:rsidRPr="0035235B">
        <w:rPr>
          <w:b/>
          <w:u w:val="single"/>
        </w:rPr>
        <w:t xml:space="preserve">olling </w:t>
      </w:r>
    </w:p>
    <w:p w14:paraId="1373EB7A" w14:textId="77777777" w:rsidR="00BD5CCB" w:rsidRDefault="00BD5CCB" w:rsidP="00BD5CCB">
      <w:pPr>
        <w:pStyle w:val="BodyText"/>
        <w:rPr>
          <w:rStyle w:val="IvDbodytextChar"/>
        </w:rPr>
      </w:pPr>
      <w:r>
        <w:rPr>
          <w:rStyle w:val="IvDbodytextChar"/>
        </w:rPr>
        <w:t>An alternative approach is that instead of listening to periodic PUCCH resources for uplink scheduling requests, the gNB can transmit polling requests to UEs in connected mode for their UL buffer status. UEs that can decode the polling request can respond to the polling requests by transmitting polling responses in specific PUCCH or PUSCH resources. The gNB has control on the timing of the polling response, thus it can tune its RX beam appropriately to ensure successful reception of the polling response, thus reducing latency. Upon reception of a polling response indicating UL data available at a UE, the gNB can schedule UL data transmission for the UE using the conventional UL data transfer procedure.</w:t>
      </w:r>
    </w:p>
    <w:p w14:paraId="611D6B5A" w14:textId="77777777" w:rsidR="00BD5CCB" w:rsidRDefault="00BD5CCB" w:rsidP="00BD5CCB">
      <w:pPr>
        <w:pStyle w:val="BodyText"/>
      </w:pPr>
      <w:r>
        <w:t>In response to the polling request, the UEs with nonempty UL data buffers can report the buffer status in a UCI using a pre-configured PUCCH resource. UEs with empty UL data buffer may either transmit a zero data volume indication, or simply ignore the polling request. This approach can be considered as a sort of aperiodic Scheduling Request. In contrast to the periodic Scheduling Request mechanism in current NR, where a SR transmission is initiated by the UE in a periodic PUCCH transmission occasion, the polling mechanism enables gNB to dynamically trigger SR transmission from the UE. By this mean, gNB is able to coordinate SR transmission to achieve more efficient spatial sweeping of SR detection, more flexible resource scheduling and better latency control. For example, the gNB can configure each UE with a PUCCH spatial relation given by a particular SSB. Then, if the gNB sweeps its receive beam according to the SSB directions for different occasions of the periodic PUCCH resource, it can trigger the SR for a particular UE just prior to the PUCCH occasion for which it knows the UEs transmit beam will be aligned with the gNB’s receive beam. In this way, it is avoided that the UE transmits SRs that will be lost due to the gNB not listening in the correct direction.</w:t>
      </w:r>
    </w:p>
    <w:p w14:paraId="40AC5933" w14:textId="62F625DC" w:rsidR="00BD5CCB" w:rsidRPr="004E1EE6" w:rsidRDefault="00BD5CCB" w:rsidP="00BD5CCB">
      <w:pPr>
        <w:pStyle w:val="BodyText"/>
      </w:pPr>
    </w:p>
    <w:p w14:paraId="2EE6DCE2" w14:textId="77777777" w:rsidR="00BD5CCB" w:rsidRDefault="00BD5CCB" w:rsidP="00BD5CCB">
      <w:pPr>
        <w:pStyle w:val="Proposal"/>
      </w:pPr>
      <w:bookmarkStart w:id="572" w:name="_Toc47712049"/>
      <w:r w:rsidRPr="00FE2D5C">
        <w:t>Consider a gNB initiated polling approach for UL traffic management to reduce UL data latency</w:t>
      </w:r>
      <w:r>
        <w:t>.</w:t>
      </w:r>
      <w:bookmarkEnd w:id="572"/>
    </w:p>
    <w:p w14:paraId="69B49E65" w14:textId="77777777" w:rsidR="00BD5CCB" w:rsidRPr="0035235B" w:rsidRDefault="00BD5CCB" w:rsidP="00BD5CCB">
      <w:pPr>
        <w:pStyle w:val="BodyText"/>
      </w:pPr>
    </w:p>
    <w:p w14:paraId="31B0646D" w14:textId="105CC3F0" w:rsidR="00F612D8" w:rsidRDefault="007C3789">
      <w:pPr>
        <w:pStyle w:val="Heading2"/>
      </w:pPr>
      <w:bookmarkStart w:id="573" w:name="_Toc46307405"/>
      <w:bookmarkStart w:id="574" w:name="_Toc47530183"/>
      <w:r>
        <w:t>4</w:t>
      </w:r>
      <w:r w:rsidR="00067830">
        <w:t>.4</w:t>
      </w:r>
      <w:r w:rsidR="00067830">
        <w:tab/>
      </w:r>
      <w:r w:rsidR="00991FB4">
        <w:t>Scheduling and HARQ</w:t>
      </w:r>
      <w:bookmarkEnd w:id="573"/>
      <w:bookmarkEnd w:id="574"/>
    </w:p>
    <w:p w14:paraId="05889CB2" w14:textId="0C455769" w:rsidR="009C5906" w:rsidRPr="00F60AB3" w:rsidRDefault="00800F76" w:rsidP="00F612D8">
      <w:pPr>
        <w:pStyle w:val="BodyText"/>
        <w:rPr>
          <w:b/>
          <w:u w:val="single"/>
        </w:rPr>
      </w:pPr>
      <w:r w:rsidRPr="00F60AB3">
        <w:rPr>
          <w:b/>
          <w:u w:val="single"/>
        </w:rPr>
        <w:t xml:space="preserve">PDSCH </w:t>
      </w:r>
      <w:r w:rsidR="00C40B61">
        <w:rPr>
          <w:b/>
          <w:u w:val="single"/>
        </w:rPr>
        <w:t>processing</w:t>
      </w:r>
      <w:r w:rsidR="00C40B61" w:rsidRPr="00F60AB3">
        <w:rPr>
          <w:b/>
          <w:u w:val="single"/>
        </w:rPr>
        <w:t xml:space="preserve"> </w:t>
      </w:r>
      <w:r w:rsidR="0031429E" w:rsidRPr="00F60AB3">
        <w:rPr>
          <w:b/>
          <w:u w:val="single"/>
        </w:rPr>
        <w:t>time improvement</w:t>
      </w:r>
    </w:p>
    <w:p w14:paraId="479FA3BF" w14:textId="57A285F4" w:rsidR="004A107F" w:rsidRPr="00F60AB3" w:rsidRDefault="004A107F" w:rsidP="004A107F">
      <w:pPr>
        <w:pStyle w:val="BodyText"/>
        <w:rPr>
          <w:color w:val="000000"/>
          <w14:textFill>
            <w14:solidFill>
              <w14:srgbClr w14:val="000000">
                <w14:lumMod w14:val="90000"/>
              </w14:srgbClr>
            </w14:solidFill>
          </w14:textFill>
        </w:rPr>
      </w:pPr>
      <w:r w:rsidRPr="00E90690">
        <w:t>As a first step to start the processing timeline discussion, we fit simple formulae to the Rel-15 processing times as the benchmarks for NR operati</w:t>
      </w:r>
      <w:r w:rsidRPr="00F60AB3">
        <w:t xml:space="preserve">on in 52.6 to 71 GHz. Using the front loaded DMRS case as an example, </w:t>
      </w:r>
      <w:r w:rsidRPr="00F60AB3">
        <w:lastRenderedPageBreak/>
        <w:t xml:space="preserve">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E90690">
        <w:t xml:space="preserve"> for numerology </w:t>
      </w:r>
      <m:oMath>
        <m:r>
          <w:rPr>
            <w:rFonts w:ascii="Cambria Math" w:hAnsi="Cambria Math"/>
          </w:rPr>
          <m:t>μ</m:t>
        </m:r>
      </m:oMath>
      <w:r w:rsidRPr="00F60AB3">
        <w:t xml:space="preserve"> in terms of the number of OS in the respective numerology can be approximated </w:t>
      </w:r>
      <w:r w:rsidR="00AE73EC">
        <w:t xml:space="preserve">as </w:t>
      </w:r>
      <w:r w:rsidRPr="00F60AB3">
        <w:t xml:space="preserve">tabulated in </w:t>
      </w:r>
      <w:r w:rsidRPr="00F60AB3">
        <w:fldChar w:fldCharType="begin"/>
      </w:r>
      <w:r w:rsidRPr="000829F3">
        <w:instrText xml:space="preserve"> REF _Ref46406873 \h  \* MERGEFORMAT </w:instrText>
      </w:r>
      <w:r w:rsidRPr="00F60AB3">
        <w:fldChar w:fldCharType="separate"/>
      </w:r>
      <w:r w:rsidR="00CF206F" w:rsidRPr="00F676BA">
        <w:t xml:space="preserve">Figure </w:t>
      </w:r>
      <w:r w:rsidR="00CF206F">
        <w:t>29</w:t>
      </w:r>
      <w:r w:rsidRPr="00F60AB3">
        <w:fldChar w:fldCharType="end"/>
      </w:r>
      <w:r w:rsidR="0050421D" w:rsidRPr="00F60AB3">
        <w:rPr>
          <w:color w:val="000000"/>
          <w14:textFill>
            <w14:solidFill>
              <w14:srgbClr w14:val="000000">
                <w14:lumMod w14:val="90000"/>
              </w14:srgbClr>
            </w14:solidFill>
          </w14:textFill>
        </w:rPr>
        <w:t xml:space="preserve"> in Section </w:t>
      </w:r>
      <w:r w:rsidR="00687829" w:rsidRPr="00F60AB3">
        <w:rPr>
          <w:color w:val="000000"/>
          <w14:textFill>
            <w14:solidFill>
              <w14:srgbClr w14:val="000000">
                <w14:lumMod w14:val="90000"/>
              </w14:srgbClr>
            </w14:solidFill>
          </w14:textFill>
        </w:rPr>
        <w:t>3.5</w:t>
      </w:r>
      <w:r w:rsidRPr="00F60AB3">
        <w:rPr>
          <w:color w:val="000000"/>
          <w14:textFill>
            <w14:solidFill>
              <w14:srgbClr w14:val="000000">
                <w14:lumMod w14:val="90000"/>
              </w14:srgbClr>
            </w14:solidFill>
          </w14:textFill>
        </w:rPr>
        <w:t xml:space="preserve">, the benchmark for PDSCH decoding time for 480 kHz SCS </w:t>
      </w:r>
      <w:r w:rsidR="00681DFA">
        <w:t xml:space="preserve">is </w:t>
      </w:r>
      <w:r w:rsidRPr="00F60AB3">
        <w:rPr>
          <w:color w:val="000000"/>
          <w14:textFill>
            <w14:solidFill>
              <w14:srgbClr w14:val="000000">
                <w14:lumMod w14:val="90000"/>
              </w14:srgbClr>
            </w14:solidFill>
          </w14:textFill>
        </w:rPr>
        <w:t>around 37 O</w:t>
      </w:r>
      <w:r w:rsidR="000913A6">
        <w:rPr>
          <w:color w:val="000000"/>
          <w14:textFill>
            <w14:solidFill>
              <w14:srgbClr w14:val="000000">
                <w14:lumMod w14:val="90000"/>
              </w14:srgbClr>
            </w14:solidFill>
          </w14:textFill>
        </w:rPr>
        <w:t>S</w:t>
      </w:r>
      <w:r w:rsidRPr="00F60AB3">
        <w:rPr>
          <w:color w:val="000000"/>
          <w14:textFill>
            <w14:solidFill>
              <w14:srgbClr w14:val="000000">
                <w14:lumMod w14:val="90000"/>
              </w14:srgbClr>
            </w14:solidFill>
          </w14:textFill>
        </w:rPr>
        <w:t>. For 960 kHz SCS, the benchmark should be around 50 OS rather than 160 OS</w:t>
      </w:r>
      <w:r w:rsidR="00C1620C">
        <w:t xml:space="preserve"> </w:t>
      </w:r>
      <w:r w:rsidR="00C34498">
        <w:t>as listed in the system level simulation assumptions</w:t>
      </w:r>
      <w:r w:rsidRPr="00E90690">
        <w:t>.</w:t>
      </w:r>
    </w:p>
    <w:p w14:paraId="125F9FD3" w14:textId="3AD5104E" w:rsidR="00455B2E" w:rsidRDefault="00717F1A" w:rsidP="00F612D8">
      <w:pPr>
        <w:pStyle w:val="BodyText"/>
      </w:pPr>
      <w:r w:rsidRPr="00F60AB3">
        <w:rPr>
          <w:color w:val="000000"/>
          <w14:textFill>
            <w14:solidFill>
              <w14:srgbClr w14:val="000000">
                <w14:lumMod w14:val="90000"/>
              </w14:srgbClr>
            </w14:solidFill>
          </w14:textFill>
        </w:rPr>
        <w:t xml:space="preserve">Several factors contribute to the UE minimum processing time. One factor relates to the amount of time needed to perform PDCCH blind decoding search. Another factor relates to whether the UE needs to wait for additional DMRS in the PDSCH transmission. A further factor is related to </w:t>
      </w:r>
      <w:r w:rsidR="000C148C">
        <w:rPr>
          <w:color w:val="000000"/>
          <w14:textFill>
            <w14:solidFill>
              <w14:srgbClr w14:val="000000">
                <w14:lumMod w14:val="90000"/>
              </w14:srgbClr>
            </w14:solidFill>
          </w14:textFill>
        </w:rPr>
        <w:t xml:space="preserve">increased sizes of soft buffer as discussed in Section 3.5. Because of increased </w:t>
      </w:r>
      <w:r w:rsidR="00E20452">
        <w:rPr>
          <w:color w:val="000000"/>
          <w14:textFill>
            <w14:solidFill>
              <w14:srgbClr w14:val="000000">
                <w14:lumMod w14:val="90000"/>
              </w14:srgbClr>
            </w14:solidFill>
          </w14:textFill>
        </w:rPr>
        <w:t xml:space="preserve">protocol </w:t>
      </w:r>
      <w:r w:rsidR="000C148C">
        <w:rPr>
          <w:color w:val="000000"/>
          <w14:textFill>
            <w14:solidFill>
              <w14:srgbClr w14:val="000000">
                <w14:lumMod w14:val="90000"/>
              </w14:srgbClr>
            </w14:solidFill>
          </w14:textFill>
        </w:rPr>
        <w:t>latency</w:t>
      </w:r>
      <w:r w:rsidR="008A5D71">
        <w:rPr>
          <w:color w:val="000000"/>
          <w14:textFill>
            <w14:solidFill>
              <w14:srgbClr w14:val="000000">
                <w14:lumMod w14:val="90000"/>
              </w14:srgbClr>
            </w14:solidFill>
          </w14:textFill>
        </w:rPr>
        <w:t xml:space="preserve"> </w:t>
      </w:r>
      <w:r w:rsidR="00E20452">
        <w:rPr>
          <w:color w:val="000000"/>
          <w14:textFill>
            <w14:solidFill>
              <w14:srgbClr w14:val="000000">
                <w14:lumMod w14:val="90000"/>
              </w14:srgbClr>
            </w14:solidFill>
          </w14:textFill>
        </w:rPr>
        <w:t>/</w:t>
      </w:r>
      <w:r w:rsidR="008A5D71">
        <w:rPr>
          <w:color w:val="000000"/>
          <w14:textFill>
            <w14:solidFill>
              <w14:srgbClr w14:val="000000">
                <w14:lumMod w14:val="90000"/>
              </w14:srgbClr>
            </w14:solidFill>
          </w14:textFill>
        </w:rPr>
        <w:t xml:space="preserve"> </w:t>
      </w:r>
      <w:r w:rsidR="00E20452">
        <w:rPr>
          <w:color w:val="000000"/>
          <w14:textFill>
            <w14:solidFill>
              <w14:srgbClr w14:val="000000">
                <w14:lumMod w14:val="90000"/>
              </w14:srgbClr>
            </w14:solidFill>
          </w14:textFill>
        </w:rPr>
        <w:t>loop</w:t>
      </w:r>
      <w:r w:rsidR="008A5D71">
        <w:rPr>
          <w:color w:val="000000"/>
          <w14:textFill>
            <w14:solidFill>
              <w14:srgbClr w14:val="000000">
                <w14:lumMod w14:val="90000"/>
              </w14:srgbClr>
            </w14:solidFill>
          </w14:textFill>
        </w:rPr>
        <w:t xml:space="preserve"> length</w:t>
      </w:r>
      <w:r w:rsidR="000C148C">
        <w:rPr>
          <w:color w:val="000000"/>
          <w14:textFill>
            <w14:solidFill>
              <w14:srgbClr w14:val="000000">
                <w14:lumMod w14:val="90000"/>
              </w14:srgbClr>
            </w14:solidFill>
          </w14:textFill>
        </w:rPr>
        <w:t>,</w:t>
      </w:r>
      <w:r w:rsidR="00E20452">
        <w:rPr>
          <w:color w:val="000000"/>
          <w14:textFill>
            <w14:solidFill>
              <w14:srgbClr w14:val="000000">
                <w14:lumMod w14:val="90000"/>
              </w14:srgbClr>
            </w14:solidFill>
          </w14:textFill>
        </w:rPr>
        <w:t xml:space="preserve"> </w:t>
      </w:r>
      <w:r w:rsidR="001B3618" w:rsidRPr="00AD7345">
        <w:rPr>
          <w:color w:val="000000"/>
          <w14:textFill>
            <w14:solidFill>
              <w14:srgbClr w14:val="000000">
                <w14:lumMod w14:val="90000"/>
              </w14:srgbClr>
            </w14:solidFill>
          </w14:textFill>
        </w:rPr>
        <w:t xml:space="preserve">a receiver increasingly needs to </w:t>
      </w:r>
      <w:r w:rsidR="00AD7345">
        <w:rPr>
          <w:color w:val="000000"/>
          <w14:textFill>
            <w14:solidFill>
              <w14:srgbClr w14:val="000000">
                <w14:lumMod w14:val="90000"/>
              </w14:srgbClr>
            </w14:solidFill>
          </w14:textFill>
        </w:rPr>
        <w:t>keep</w:t>
      </w:r>
      <w:r w:rsidR="00AD7345" w:rsidRPr="00AD7345">
        <w:rPr>
          <w:color w:val="000000"/>
          <w14:textFill>
            <w14:solidFill>
              <w14:srgbClr w14:val="000000">
                <w14:lumMod w14:val="90000"/>
              </w14:srgbClr>
            </w14:solidFill>
          </w14:textFill>
        </w:rPr>
        <w:t xml:space="preserve"> </w:t>
      </w:r>
      <w:r w:rsidR="001B3618" w:rsidRPr="00AD7345">
        <w:rPr>
          <w:color w:val="000000"/>
          <w14:textFill>
            <w14:solidFill>
              <w14:srgbClr w14:val="000000">
                <w14:lumMod w14:val="90000"/>
              </w14:srgbClr>
            </w14:solidFill>
          </w14:textFill>
        </w:rPr>
        <w:t>large</w:t>
      </w:r>
      <w:r w:rsidR="00AD7345">
        <w:rPr>
          <w:color w:val="000000"/>
          <w14:textFill>
            <w14:solidFill>
              <w14:srgbClr w14:val="000000">
                <w14:lumMod w14:val="90000"/>
              </w14:srgbClr>
            </w14:solidFill>
          </w14:textFill>
        </w:rPr>
        <w:t>r</w:t>
      </w:r>
      <w:r w:rsidR="001B3618" w:rsidRPr="00AD7345">
        <w:rPr>
          <w:color w:val="000000"/>
          <w14:textFill>
            <w14:solidFill>
              <w14:srgbClr w14:val="000000">
                <w14:lumMod w14:val="90000"/>
              </w14:srgbClr>
            </w14:solidFill>
          </w14:textFill>
        </w:rPr>
        <w:t xml:space="preserve"> amount of soft values</w:t>
      </w:r>
      <w:r w:rsidR="001B3618" w:rsidRPr="00F60AB3">
        <w:rPr>
          <w:color w:val="000000"/>
          <w14:textFill>
            <w14:solidFill>
              <w14:srgbClr w14:val="000000">
                <w14:lumMod w14:val="90000"/>
              </w14:srgbClr>
            </w14:solidFill>
          </w14:textFill>
        </w:rPr>
        <w:t xml:space="preserve">. </w:t>
      </w:r>
      <w:r w:rsidR="008C1D30">
        <w:rPr>
          <w:color w:val="000000"/>
          <w14:textFill>
            <w14:solidFill>
              <w14:srgbClr w14:val="000000">
                <w14:lumMod w14:val="90000"/>
              </w14:srgbClr>
            </w14:solidFill>
          </w14:textFill>
        </w:rPr>
        <w:t>I</w:t>
      </w:r>
      <w:r w:rsidR="001B3618" w:rsidRPr="00F60AB3">
        <w:rPr>
          <w:color w:val="000000"/>
          <w14:textFill>
            <w14:solidFill>
              <w14:srgbClr w14:val="000000">
                <w14:lumMod w14:val="90000"/>
              </w14:srgbClr>
            </w14:solidFill>
          </w14:textFill>
        </w:rPr>
        <w:t xml:space="preserve">t has become </w:t>
      </w:r>
      <w:r w:rsidR="00046D77" w:rsidRPr="00F60AB3">
        <w:rPr>
          <w:color w:val="000000"/>
          <w14:textFill>
            <w14:solidFill>
              <w14:srgbClr w14:val="000000">
                <w14:lumMod w14:val="90000"/>
              </w14:srgbClr>
            </w14:solidFill>
          </w14:textFill>
        </w:rPr>
        <w:t>un</w:t>
      </w:r>
      <w:r w:rsidR="001B3618" w:rsidRPr="00F60AB3">
        <w:rPr>
          <w:color w:val="000000"/>
          <w14:textFill>
            <w14:solidFill>
              <w14:srgbClr w14:val="000000">
                <w14:lumMod w14:val="90000"/>
              </w14:srgbClr>
            </w14:solidFill>
          </w14:textFill>
        </w:rPr>
        <w:t>economical for the receiver implementation to include such soft buffer memory on the same chip for baseband processing. That is, the soft values need to be written to off-chip memory hardware when a transmission is not received successfully. The soft values will also need to be read back from off-chip memory hardware when the receiver is processing a retransmission of the same transport block. Since access of off-chip memory hardware takes substantially more time than the baseband processor cycles, proper HARQ feedback timing control for the high frequency ranges need to take soft combining into consideration.</w:t>
      </w:r>
    </w:p>
    <w:p w14:paraId="531134C0" w14:textId="5ED9330E" w:rsidR="00FB6830" w:rsidRDefault="00134762" w:rsidP="00F612D8">
      <w:pPr>
        <w:pStyle w:val="BodyText"/>
      </w:pPr>
      <w:r>
        <w:t>In Rel-15</w:t>
      </w:r>
      <w:r w:rsidR="009C1595">
        <w:t>,</w:t>
      </w:r>
      <w:r>
        <w:t xml:space="preserve"> </w:t>
      </w:r>
      <w:r w:rsidR="009C1595">
        <w:t xml:space="preserve">a single </w:t>
      </w:r>
      <w:r w:rsidR="00E34416">
        <w:t>UE processing tim</w:t>
      </w:r>
      <w:r w:rsidR="009420F2">
        <w:t>e requirement</w:t>
      </w:r>
      <w:r w:rsidR="009C1595">
        <w:t xml:space="preserve"> </w:t>
      </w:r>
      <w:r w:rsidR="00EA5A68">
        <w:t>is define</w:t>
      </w:r>
      <w:r w:rsidR="00E36569">
        <w:t>d</w:t>
      </w:r>
      <w:r w:rsidR="00E36569" w:rsidDel="00911C4A">
        <w:t xml:space="preserve"> </w:t>
      </w:r>
      <w:r w:rsidR="00EA5A68">
        <w:t xml:space="preserve">to cover </w:t>
      </w:r>
      <w:r w:rsidR="00BA5343">
        <w:t>both initial and re</w:t>
      </w:r>
      <w:r w:rsidR="00702F86">
        <w:t>transmission cases</w:t>
      </w:r>
      <w:r w:rsidR="003A3009">
        <w:t xml:space="preserve">. </w:t>
      </w:r>
      <w:r w:rsidR="00A060D4">
        <w:t xml:space="preserve">But for initial transmission case where there is no need of additional latency budget to fetch from soft buffer memory, </w:t>
      </w:r>
      <w:r w:rsidR="00197272">
        <w:t>the actual PDSCH decoding times in terms of OSs needed for the initial transmission can be less than that for the retransmission cases</w:t>
      </w:r>
      <w:r w:rsidR="00556914">
        <w:t>. This is one of the</w:t>
      </w:r>
      <w:r w:rsidR="00446857">
        <w:t xml:space="preserve"> </w:t>
      </w:r>
      <w:r w:rsidR="00AF536D">
        <w:t>opportunities</w:t>
      </w:r>
      <w:r w:rsidR="00446857">
        <w:t xml:space="preserve"> </w:t>
      </w:r>
      <w:r w:rsidR="00AD1751">
        <w:t xml:space="preserve">where </w:t>
      </w:r>
      <w:r w:rsidR="00A060D4">
        <w:t xml:space="preserve">PDSCH decoding time </w:t>
      </w:r>
      <w:r w:rsidR="00FB6830">
        <w:t>can be reduced</w:t>
      </w:r>
      <w:r w:rsidR="00202B19">
        <w:t xml:space="preserve"> for </w:t>
      </w:r>
      <w:r w:rsidR="00FB6830">
        <w:t xml:space="preserve">initial transmissions. </w:t>
      </w:r>
      <w:r w:rsidR="00FB6830">
        <w:t xml:space="preserve">Considering that the ACK/NACK latency (SIFS) for the IEEE 802.11ad devices is 3 </w:t>
      </w:r>
      <w:r w:rsidR="00FB6830">
        <w:rPr>
          <w:rFonts w:ascii="Cambria Math" w:hAnsi="Cambria Math"/>
        </w:rPr>
        <w:t>μ</w:t>
      </w:r>
      <w:r w:rsidR="00FB6830">
        <w:t>s, a new PDSCH decoding time requirement much shorter than 37 OSs (</w:t>
      </w:r>
      <w:r w:rsidR="00FB6830">
        <w:rPr>
          <w:rFonts w:ascii="Cambria Math" w:hAnsi="Cambria Math"/>
        </w:rPr>
        <w:t>≈</w:t>
      </w:r>
      <w:r w:rsidR="00FB6830">
        <w:t xml:space="preserve">82 </w:t>
      </w:r>
      <w:r w:rsidR="00FB6830">
        <w:rPr>
          <w:rFonts w:ascii="Cambria Math" w:hAnsi="Cambria Math"/>
        </w:rPr>
        <w:t>μ</w:t>
      </w:r>
      <w:r w:rsidR="00FB6830">
        <w:t>s) should be considered for in NR operation in 52.6 to 71 GHz</w:t>
      </w:r>
      <w:r w:rsidR="00653452">
        <w:t xml:space="preserve">. </w:t>
      </w:r>
    </w:p>
    <w:p w14:paraId="6E872D0F" w14:textId="76B82EBD" w:rsidR="007702DE" w:rsidRDefault="007702DE" w:rsidP="00F612D8">
      <w:pPr>
        <w:pStyle w:val="BodyText"/>
      </w:pPr>
    </w:p>
    <w:p w14:paraId="5A24C845" w14:textId="12E5F5AF" w:rsidR="0031429E" w:rsidRPr="00F60AB3" w:rsidRDefault="0036148B" w:rsidP="00F94015">
      <w:pPr>
        <w:pStyle w:val="Proposal"/>
      </w:pPr>
      <w:bookmarkStart w:id="575" w:name="_Toc46496325"/>
      <w:bookmarkStart w:id="576" w:name="_Toc46496566"/>
      <w:bookmarkStart w:id="577" w:name="_Toc46497847"/>
      <w:bookmarkStart w:id="578" w:name="_Toc46496327"/>
      <w:bookmarkStart w:id="579" w:name="_Toc46496568"/>
      <w:bookmarkStart w:id="580" w:name="_Toc46497849"/>
      <w:bookmarkStart w:id="581" w:name="_Toc46496328"/>
      <w:bookmarkStart w:id="582" w:name="_Toc46496569"/>
      <w:bookmarkStart w:id="583" w:name="_Toc46497850"/>
      <w:bookmarkStart w:id="584" w:name="_Toc46496329"/>
      <w:bookmarkStart w:id="585" w:name="_Toc46496570"/>
      <w:bookmarkStart w:id="586" w:name="_Toc46497851"/>
      <w:bookmarkStart w:id="587" w:name="_Toc46496332"/>
      <w:bookmarkStart w:id="588" w:name="_Toc46496573"/>
      <w:bookmarkStart w:id="589" w:name="_Toc46497854"/>
      <w:bookmarkStart w:id="590" w:name="_Toc47712050"/>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r>
        <w:t xml:space="preserve">RAN1 should </w:t>
      </w:r>
      <w:r w:rsidR="00024CF6">
        <w:t>investigate</w:t>
      </w:r>
      <w:r>
        <w:t xml:space="preserve"> the </w:t>
      </w:r>
      <w:r w:rsidR="009F0172">
        <w:t xml:space="preserve">different factors that contribute to the PDSCH processing </w:t>
      </w:r>
      <w:r w:rsidR="006B3535">
        <w:t>time and</w:t>
      </w:r>
      <w:r w:rsidR="001C0DD2">
        <w:t xml:space="preserve"> </w:t>
      </w:r>
      <w:r w:rsidR="00975D6E">
        <w:t>consider</w:t>
      </w:r>
      <w:r w:rsidR="00B402B8">
        <w:t xml:space="preserve"> possible</w:t>
      </w:r>
      <w:r w:rsidR="00AF536D">
        <w:t xml:space="preserve"> latency</w:t>
      </w:r>
      <w:r w:rsidR="00B402B8">
        <w:t xml:space="preserve"> </w:t>
      </w:r>
      <w:r w:rsidR="00AF536D">
        <w:t>reduction opportunities</w:t>
      </w:r>
      <w:r w:rsidR="006832FA">
        <w:t>.</w:t>
      </w:r>
      <w:bookmarkEnd w:id="590"/>
      <w:r w:rsidR="00AF536D">
        <w:t xml:space="preserve"> </w:t>
      </w:r>
    </w:p>
    <w:p w14:paraId="020AA129" w14:textId="77777777" w:rsidR="006C65AB" w:rsidRDefault="006C65AB" w:rsidP="00F612D8">
      <w:pPr>
        <w:pStyle w:val="BodyText"/>
      </w:pPr>
    </w:p>
    <w:p w14:paraId="4C19D323" w14:textId="34C15DA2" w:rsidR="006C65AB" w:rsidRPr="00F60AB3" w:rsidRDefault="005A19B9" w:rsidP="00F612D8">
      <w:pPr>
        <w:pStyle w:val="BodyText"/>
        <w:rPr>
          <w:b/>
          <w:u w:val="single"/>
        </w:rPr>
      </w:pPr>
      <w:r w:rsidRPr="00F60AB3">
        <w:rPr>
          <w:b/>
          <w:u w:val="single"/>
        </w:rPr>
        <w:t>Time domain resource allocation aspects</w:t>
      </w:r>
    </w:p>
    <w:p w14:paraId="09F90753" w14:textId="410961EE" w:rsidR="005A19B9" w:rsidRDefault="00654710" w:rsidP="00F612D8">
      <w:pPr>
        <w:pStyle w:val="BodyText"/>
      </w:pPr>
      <w:r>
        <w:t xml:space="preserve">Given the </w:t>
      </w:r>
      <w:r w:rsidR="00A044B1">
        <w:t xml:space="preserve">much </w:t>
      </w:r>
      <w:r>
        <w:t xml:space="preserve">large </w:t>
      </w:r>
      <w:r w:rsidR="00A044B1">
        <w:t>UE processing latenc</w:t>
      </w:r>
      <w:r w:rsidR="00A54815">
        <w:t xml:space="preserve">ies discussed in </w:t>
      </w:r>
      <w:r w:rsidR="00A74759">
        <w:fldChar w:fldCharType="begin"/>
      </w:r>
      <w:r w:rsidR="00A74759">
        <w:instrText xml:space="preserve"> REF _Ref46406873 \h </w:instrText>
      </w:r>
      <w:r w:rsidR="00A74759">
        <w:fldChar w:fldCharType="separate"/>
      </w:r>
      <w:r w:rsidR="00CF206F" w:rsidRPr="00F676BA">
        <w:t xml:space="preserve">Figure </w:t>
      </w:r>
      <w:r w:rsidR="00CF206F">
        <w:rPr>
          <w:noProof/>
        </w:rPr>
        <w:t>29</w:t>
      </w:r>
      <w:r w:rsidR="00A74759">
        <w:fldChar w:fldCharType="end"/>
      </w:r>
      <w:r w:rsidR="00A74759">
        <w:t xml:space="preserve"> and </w:t>
      </w:r>
      <w:r w:rsidR="00A74759">
        <w:fldChar w:fldCharType="begin"/>
      </w:r>
      <w:r w:rsidR="00A74759">
        <w:instrText xml:space="preserve"> REF _Ref46407328 \h </w:instrText>
      </w:r>
      <w:r w:rsidR="00A74759">
        <w:fldChar w:fldCharType="separate"/>
      </w:r>
      <w:r w:rsidR="00CF206F" w:rsidRPr="00F676BA">
        <w:t xml:space="preserve">Figure </w:t>
      </w:r>
      <w:r w:rsidR="00CF206F">
        <w:rPr>
          <w:noProof/>
        </w:rPr>
        <w:t>30</w:t>
      </w:r>
      <w:r w:rsidR="00A74759">
        <w:fldChar w:fldCharType="end"/>
      </w:r>
      <w:r w:rsidR="00A74759">
        <w:t xml:space="preserve"> in Section 3.5, </w:t>
      </w:r>
      <w:r w:rsidR="00AC57D0">
        <w:t xml:space="preserve">an increase of the number of HARQ processes </w:t>
      </w:r>
      <w:r w:rsidR="005A0743">
        <w:t xml:space="preserve">may become necessary in order not to </w:t>
      </w:r>
      <w:r w:rsidR="00B7403C">
        <w:t xml:space="preserve">throttle </w:t>
      </w:r>
      <w:r w:rsidR="008E2E4A">
        <w:t>data throughputs due to HARQ process starvation.</w:t>
      </w:r>
      <w:r w:rsidR="00D766B6">
        <w:t xml:space="preserve"> However, </w:t>
      </w:r>
      <w:r w:rsidR="009E660B">
        <w:t xml:space="preserve">a larger number of HARQ processes </w:t>
      </w:r>
      <w:r w:rsidR="002F1C9B">
        <w:t xml:space="preserve">will increase the DCI </w:t>
      </w:r>
      <w:r w:rsidR="00B723B1">
        <w:t xml:space="preserve">and HARQ-ACK </w:t>
      </w:r>
      <w:r w:rsidR="00DF6960">
        <w:t>sizes,</w:t>
      </w:r>
      <w:r w:rsidR="00FF4565">
        <w:t xml:space="preserve"> which can negatively impact the coverage of NR operation in 52.6 to 71 GHz.</w:t>
      </w:r>
    </w:p>
    <w:p w14:paraId="3AC2BD20" w14:textId="01111538" w:rsidR="0039373C" w:rsidRDefault="0039373C" w:rsidP="00F612D8">
      <w:pPr>
        <w:pStyle w:val="BodyText"/>
      </w:pPr>
    </w:p>
    <w:p w14:paraId="33942628" w14:textId="6BB80B7C" w:rsidR="0039373C" w:rsidRPr="00814DDC" w:rsidRDefault="0039373C" w:rsidP="0039373C">
      <w:pPr>
        <w:pStyle w:val="Observation"/>
        <w:rPr>
          <w:lang w:val="en-GB"/>
        </w:rPr>
      </w:pPr>
      <w:bookmarkStart w:id="591" w:name="_Toc47712036"/>
      <w:r>
        <w:rPr>
          <w:lang w:val="en-GB"/>
        </w:rPr>
        <w:t xml:space="preserve">Because of </w:t>
      </w:r>
      <w:r w:rsidR="00274E81">
        <w:rPr>
          <w:lang w:val="en-GB"/>
        </w:rPr>
        <w:t xml:space="preserve">larger processing latencies, </w:t>
      </w:r>
      <w:r w:rsidR="00274E81">
        <w:t xml:space="preserve">the numbers of DL and UL HARQ processes may need to </w:t>
      </w:r>
      <w:r w:rsidR="00534773">
        <w:t>be increased.</w:t>
      </w:r>
      <w:r w:rsidR="004F438E">
        <w:t xml:space="preserve"> Otherwise, </w:t>
      </w:r>
      <w:r w:rsidR="00912DB1">
        <w:t xml:space="preserve">physical layer </w:t>
      </w:r>
      <w:r w:rsidR="004F438E">
        <w:t>specification and implementation changes compared to Rel-15</w:t>
      </w:r>
      <w:r w:rsidR="007E3B6D">
        <w:t xml:space="preserve"> </w:t>
      </w:r>
      <w:r w:rsidR="00B305C5">
        <w:t>may be</w:t>
      </w:r>
      <w:r w:rsidR="007E3B6D">
        <w:t xml:space="preserve"> needed</w:t>
      </w:r>
      <w:r w:rsidR="00EB3BFB">
        <w:t xml:space="preserve"> to sustain high data throughput.</w:t>
      </w:r>
      <w:bookmarkEnd w:id="591"/>
    </w:p>
    <w:p w14:paraId="0767C8EF" w14:textId="77777777" w:rsidR="0039373C" w:rsidRDefault="0039373C" w:rsidP="00F612D8">
      <w:pPr>
        <w:pStyle w:val="BodyText"/>
      </w:pPr>
    </w:p>
    <w:p w14:paraId="4BC55830" w14:textId="38C46F16" w:rsidR="007D48B2" w:rsidRDefault="00831F42" w:rsidP="00F612D8">
      <w:pPr>
        <w:pStyle w:val="BodyText"/>
      </w:pPr>
      <w:r>
        <w:t>Furthermore, given the short slot duration</w:t>
      </w:r>
      <w:r w:rsidR="009E2717">
        <w:t xml:space="preserve">s </w:t>
      </w:r>
      <w:r w:rsidR="00105FD6">
        <w:t xml:space="preserve">and </w:t>
      </w:r>
      <w:r w:rsidR="000E1AB6">
        <w:t>longer processing latencies (</w:t>
      </w:r>
      <w:r w:rsidR="00EF025D">
        <w:t xml:space="preserve">in terms of the numerology) </w:t>
      </w:r>
      <w:r w:rsidR="009E2717">
        <w:t>associated with larger SCSs</w:t>
      </w:r>
      <w:r>
        <w:t xml:space="preserve">, </w:t>
      </w:r>
      <w:r w:rsidR="005571BD">
        <w:t xml:space="preserve">it </w:t>
      </w:r>
      <w:r w:rsidR="005571BD" w:rsidDel="003F7075">
        <w:t xml:space="preserve">may </w:t>
      </w:r>
      <w:r w:rsidR="000A3EEE">
        <w:t>be</w:t>
      </w:r>
      <w:r w:rsidR="005571BD">
        <w:t xml:space="preserve"> beneficial to </w:t>
      </w:r>
      <w:r w:rsidR="006130B5">
        <w:t xml:space="preserve">consider extending the multi-PUSCH scheduling feature introduced in Rel-16 </w:t>
      </w:r>
      <w:r w:rsidR="007725B7">
        <w:t xml:space="preserve">to the scheduling of multiple PDSCH using one DCI in Rel-17. </w:t>
      </w:r>
      <w:r w:rsidR="00A57155">
        <w:t xml:space="preserve">This can be accomplished using the same </w:t>
      </w:r>
      <w:r w:rsidR="000D70B5">
        <w:t xml:space="preserve">approach as Rel-16 </w:t>
      </w:r>
      <w:r w:rsidR="00D10592">
        <w:t xml:space="preserve">multiple-PUSCH </w:t>
      </w:r>
      <w:r w:rsidR="00A57155">
        <w:t>time domain resource allocation</w:t>
      </w:r>
      <w:r w:rsidR="00CF3E25">
        <w:t xml:space="preserve">. That is, each row in the </w:t>
      </w:r>
      <w:r w:rsidR="005441E5">
        <w:t xml:space="preserve">new multi-PDSCH scheduling </w:t>
      </w:r>
      <w:r w:rsidR="00CF3E25">
        <w:t xml:space="preserve">time domain resource allocation table </w:t>
      </w:r>
      <w:r w:rsidR="004E4DED">
        <w:t xml:space="preserve">can </w:t>
      </w:r>
      <w:r w:rsidR="00CF3E25">
        <w:t xml:space="preserve">contains multiple </w:t>
      </w:r>
      <w:r w:rsidR="001A2148">
        <w:t xml:space="preserve">mapping types and </w:t>
      </w:r>
      <w:r w:rsidR="001A2148" w:rsidRPr="001A2148">
        <w:rPr>
          <w:i/>
          <w:iCs/>
        </w:rPr>
        <w:t>startSymbolAndLength</w:t>
      </w:r>
      <w:r w:rsidR="001A2148">
        <w:t xml:space="preserve"> settings. </w:t>
      </w:r>
      <w:r w:rsidR="005A78B3">
        <w:t xml:space="preserve">A </w:t>
      </w:r>
      <w:r w:rsidR="00915488">
        <w:t>single K1 can be used to indicate the starting slot of multiple PDSCH</w:t>
      </w:r>
      <w:r w:rsidR="00F47C41">
        <w:t>s</w:t>
      </w:r>
      <w:r w:rsidR="00E83032">
        <w:t xml:space="preserve">, each of which follows its own mapping type and </w:t>
      </w:r>
      <w:r w:rsidR="008D1053" w:rsidRPr="00E472BB">
        <w:rPr>
          <w:i/>
        </w:rPr>
        <w:t>startSymbolAndLength</w:t>
      </w:r>
      <w:r w:rsidR="00117FDA">
        <w:t xml:space="preserve"> as specified </w:t>
      </w:r>
      <w:r w:rsidR="00DC7FDE">
        <w:t xml:space="preserve">by the applicable </w:t>
      </w:r>
      <w:r w:rsidR="001C2D2B">
        <w:t xml:space="preserve">row </w:t>
      </w:r>
      <w:r w:rsidR="000247BF">
        <w:t xml:space="preserve">in the time domain resource allocation table. </w:t>
      </w:r>
      <w:r w:rsidR="005A78B3">
        <w:t>Similar to Rel-16, t</w:t>
      </w:r>
      <w:r w:rsidR="00D415BB">
        <w:t xml:space="preserve">he HARQ </w:t>
      </w:r>
      <w:r w:rsidR="00206234">
        <w:t xml:space="preserve">process number </w:t>
      </w:r>
      <w:r w:rsidR="00D415BB">
        <w:t xml:space="preserve">field in the DCI </w:t>
      </w:r>
      <w:r w:rsidR="00206234">
        <w:t>a</w:t>
      </w:r>
      <w:r w:rsidR="00206234" w:rsidRPr="00206234">
        <w:t>pplies to the first scheduled P</w:t>
      </w:r>
      <w:r w:rsidR="00206234">
        <w:t>D</w:t>
      </w:r>
      <w:r w:rsidR="00206234" w:rsidRPr="00206234">
        <w:t xml:space="preserve">SCH. HARQ process </w:t>
      </w:r>
      <w:r w:rsidR="0096058F">
        <w:t>number</w:t>
      </w:r>
      <w:r w:rsidR="00206234" w:rsidRPr="00206234">
        <w:t xml:space="preserve"> is then incremented by 1 for</w:t>
      </w:r>
      <w:r w:rsidR="0096058F">
        <w:t xml:space="preserve"> each</w:t>
      </w:r>
      <w:r w:rsidR="00206234" w:rsidRPr="00206234">
        <w:t xml:space="preserve"> subsequent P</w:t>
      </w:r>
      <w:r w:rsidR="0096058F">
        <w:t>D</w:t>
      </w:r>
      <w:r w:rsidR="00206234" w:rsidRPr="00206234">
        <w:t>SCHs in the scheduled order, with modulo operation as needed</w:t>
      </w:r>
      <w:r w:rsidR="0096058F">
        <w:t xml:space="preserve">. </w:t>
      </w:r>
      <w:r w:rsidR="00657D34">
        <w:t xml:space="preserve">Separate </w:t>
      </w:r>
      <w:r w:rsidR="00DD4E72">
        <w:t xml:space="preserve">NDI and </w:t>
      </w:r>
      <w:r w:rsidR="0038328C">
        <w:t xml:space="preserve">RV </w:t>
      </w:r>
      <w:r w:rsidR="003F1CA7">
        <w:t xml:space="preserve">fields </w:t>
      </w:r>
      <w:r w:rsidR="0038328C">
        <w:t xml:space="preserve">are provided for each </w:t>
      </w:r>
      <w:r w:rsidR="00504803">
        <w:t xml:space="preserve">of the </w:t>
      </w:r>
      <w:r w:rsidR="0038328C">
        <w:t>scheduled PDSCH</w:t>
      </w:r>
      <w:r w:rsidR="00504803">
        <w:t>s</w:t>
      </w:r>
      <w:r w:rsidR="0038328C">
        <w:t>.</w:t>
      </w:r>
    </w:p>
    <w:p w14:paraId="62692657" w14:textId="164C9BBC" w:rsidR="00F81187" w:rsidRDefault="005879AC" w:rsidP="00F612D8">
      <w:pPr>
        <w:pStyle w:val="BodyText"/>
      </w:pPr>
      <w:r>
        <w:t>A</w:t>
      </w:r>
      <w:r w:rsidR="004122AA">
        <w:t>n</w:t>
      </w:r>
      <w:r>
        <w:t xml:space="preserve"> example of </w:t>
      </w:r>
      <w:r w:rsidR="0070773F">
        <w:t xml:space="preserve">using one DCI to schedule four </w:t>
      </w:r>
      <w:r w:rsidR="00143BB1">
        <w:t xml:space="preserve">consecutive </w:t>
      </w:r>
      <w:r w:rsidR="0070773F">
        <w:t xml:space="preserve">PDSCHs </w:t>
      </w:r>
      <w:r w:rsidR="00143BB1">
        <w:t xml:space="preserve">is </w:t>
      </w:r>
      <w:r w:rsidR="006757DF" w:rsidRPr="00143BB1">
        <w:t xml:space="preserve">illustrated in </w:t>
      </w:r>
      <w:r w:rsidR="002B3D74" w:rsidRPr="00143BB1">
        <w:fldChar w:fldCharType="begin"/>
      </w:r>
      <w:r w:rsidR="002B3D74" w:rsidRPr="00143BB1">
        <w:instrText xml:space="preserve"> REF _Ref47013743 \h </w:instrText>
      </w:r>
      <w:r w:rsidR="00894DAE" w:rsidRPr="00143BB1">
        <w:instrText xml:space="preserve"> \* MERGEFORMAT </w:instrText>
      </w:r>
      <w:r w:rsidR="002B3D74" w:rsidRPr="00143BB1">
        <w:fldChar w:fldCharType="separate"/>
      </w:r>
      <w:r w:rsidR="00CF206F" w:rsidRPr="00F676BA">
        <w:t xml:space="preserve">Figure </w:t>
      </w:r>
      <w:r w:rsidR="00CF206F">
        <w:rPr>
          <w:noProof/>
        </w:rPr>
        <w:t>34</w:t>
      </w:r>
      <w:r w:rsidR="002B3D74" w:rsidRPr="00143BB1">
        <w:fldChar w:fldCharType="end"/>
      </w:r>
      <w:r w:rsidR="006757DF" w:rsidRPr="00143BB1">
        <w:t>.</w:t>
      </w:r>
      <w:r w:rsidR="007D48B2">
        <w:t xml:space="preserve"> </w:t>
      </w:r>
      <w:r w:rsidR="002E08BB">
        <w:t>A</w:t>
      </w:r>
      <w:r w:rsidR="0062436C">
        <w:t xml:space="preserve"> PUCCH can carry </w:t>
      </w:r>
      <w:r w:rsidR="00CF3A93">
        <w:t>the feedback corresponding to the</w:t>
      </w:r>
      <w:r w:rsidR="00811A4D">
        <w:t xml:space="preserve"> four consecutive PDSCHs</w:t>
      </w:r>
      <w:r w:rsidR="0062436C">
        <w:t>.</w:t>
      </w:r>
      <w:r w:rsidR="00811A4D" w:rsidRPr="00811A4D">
        <w:t xml:space="preserve"> </w:t>
      </w:r>
      <w:r w:rsidR="00811A4D">
        <w:t xml:space="preserve">Multi-PDSCH scheduling will not only save on DCI overhead, but also makes it possible to operate with lower PDCCH monitoring granularity without compromising on scheduling granularity. In return, lower PDCCH monitoring granularity will result in significant </w:t>
      </w:r>
      <w:r w:rsidR="009E0F6C">
        <w:t xml:space="preserve">UE </w:t>
      </w:r>
      <w:r w:rsidR="00811A4D">
        <w:t>power consumption savings.</w:t>
      </w:r>
    </w:p>
    <w:p w14:paraId="15016447" w14:textId="35CF1F1E" w:rsidR="000E1EB2" w:rsidRDefault="000E1EB2" w:rsidP="00F612D8">
      <w:pPr>
        <w:pStyle w:val="BodyText"/>
      </w:pPr>
    </w:p>
    <w:p w14:paraId="2D3292FE" w14:textId="0E7D5202" w:rsidR="00B57BE4" w:rsidRDefault="00FD51FE" w:rsidP="00E472BB">
      <w:pPr>
        <w:pStyle w:val="BodyText"/>
        <w:spacing w:after="0"/>
        <w:jc w:val="center"/>
      </w:pPr>
      <w:r w:rsidRPr="00FD51FE">
        <w:rPr>
          <w:noProof/>
        </w:rPr>
        <w:lastRenderedPageBreak/>
        <w:drawing>
          <wp:inline distT="0" distB="0" distL="0" distR="0" wp14:anchorId="5DA9BC8B" wp14:editId="6DF373C7">
            <wp:extent cx="5486400" cy="111318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a:extLst>
                        <a:ext uri="{28A0092B-C50C-407E-A947-70E740481C1C}">
                          <a14:useLocalDpi xmlns:a14="http://schemas.microsoft.com/office/drawing/2010/main" val="0"/>
                        </a:ext>
                      </a:extLst>
                    </a:blip>
                    <a:srcRect b="9823"/>
                    <a:stretch/>
                  </pic:blipFill>
                  <pic:spPr bwMode="auto">
                    <a:xfrm>
                      <a:off x="0" y="0"/>
                      <a:ext cx="5486400" cy="1113183"/>
                    </a:xfrm>
                    <a:prstGeom prst="rect">
                      <a:avLst/>
                    </a:prstGeom>
                    <a:noFill/>
                    <a:ln>
                      <a:noFill/>
                    </a:ln>
                    <a:extLst>
                      <a:ext uri="{53640926-AAD7-44D8-BBD7-CCE9431645EC}">
                        <a14:shadowObscured xmlns:a14="http://schemas.microsoft.com/office/drawing/2010/main"/>
                      </a:ext>
                    </a:extLst>
                  </pic:spPr>
                </pic:pic>
              </a:graphicData>
            </a:graphic>
          </wp:inline>
        </w:drawing>
      </w:r>
    </w:p>
    <w:p w14:paraId="31EC70B5" w14:textId="6C6D9AAC" w:rsidR="00B57BE4" w:rsidRDefault="00BE6259" w:rsidP="00E472BB">
      <w:pPr>
        <w:pStyle w:val="TF"/>
        <w:spacing w:before="120"/>
        <w:rPr>
          <w:vertAlign w:val="subscript"/>
        </w:rPr>
      </w:pPr>
      <w:bookmarkStart w:id="592" w:name="_Ref47013743"/>
      <w:r w:rsidRPr="00F676BA">
        <w:rPr>
          <w:lang w:val="en-US"/>
        </w:rPr>
        <w:t xml:space="preserve">Figure </w:t>
      </w:r>
      <w:r w:rsidRPr="00F676BA">
        <w:rPr>
          <w:b w:val="0"/>
        </w:rPr>
        <w:fldChar w:fldCharType="begin"/>
      </w:r>
      <w:r w:rsidRPr="00F676BA">
        <w:rPr>
          <w:lang w:val="en-US"/>
        </w:rPr>
        <w:instrText xml:space="preserve"> SEQ Figure \* ARABIC </w:instrText>
      </w:r>
      <w:r w:rsidRPr="00F676BA">
        <w:rPr>
          <w:b w:val="0"/>
        </w:rPr>
        <w:fldChar w:fldCharType="separate"/>
      </w:r>
      <w:r w:rsidR="00CF206F">
        <w:rPr>
          <w:noProof/>
          <w:lang w:val="en-US"/>
        </w:rPr>
        <w:t>34</w:t>
      </w:r>
      <w:r w:rsidRPr="00F676BA">
        <w:rPr>
          <w:b w:val="0"/>
        </w:rPr>
        <w:fldChar w:fldCharType="end"/>
      </w:r>
      <w:bookmarkEnd w:id="592"/>
      <w:r w:rsidRPr="00F676BA">
        <w:rPr>
          <w:lang w:val="en-US"/>
        </w:rPr>
        <w:t xml:space="preserve">: </w:t>
      </w:r>
      <w:r w:rsidR="00B3565F">
        <w:rPr>
          <w:lang w:val="en-US"/>
        </w:rPr>
        <w:t>Example of multiple-PDSCH scheduling.</w:t>
      </w:r>
    </w:p>
    <w:p w14:paraId="6E94C37A" w14:textId="77777777" w:rsidR="000B671E" w:rsidRDefault="000B671E" w:rsidP="00DF12D3">
      <w:pPr>
        <w:pStyle w:val="BodyText"/>
      </w:pPr>
    </w:p>
    <w:p w14:paraId="25DBE6F7" w14:textId="680750E1" w:rsidR="00DF12D3" w:rsidRDefault="002E3754" w:rsidP="00DF12D3">
      <w:pPr>
        <w:pStyle w:val="Proposal"/>
      </w:pPr>
      <w:bookmarkStart w:id="593" w:name="_Toc47712051"/>
      <w:r>
        <w:t xml:space="preserve">Consider </w:t>
      </w:r>
      <w:r w:rsidR="00C16E0C">
        <w:t xml:space="preserve">support of </w:t>
      </w:r>
      <w:r>
        <w:t xml:space="preserve">scheduling multiple PDSCH using one DCI </w:t>
      </w:r>
      <w:r w:rsidR="00C16E0C">
        <w:t>for NR operation in 52.6 to 71 GHz</w:t>
      </w:r>
      <w:r w:rsidR="00F612D8" w:rsidDel="00C16E0C">
        <w:t>.</w:t>
      </w:r>
      <w:bookmarkEnd w:id="593"/>
    </w:p>
    <w:p w14:paraId="34C34795" w14:textId="77777777" w:rsidR="00534773" w:rsidRDefault="00534773" w:rsidP="00F612D8">
      <w:pPr>
        <w:pStyle w:val="BodyText"/>
      </w:pPr>
    </w:p>
    <w:p w14:paraId="1EC49333" w14:textId="34B94CC3" w:rsidR="008B06FC" w:rsidRDefault="005A19B9" w:rsidP="000A1FE1">
      <w:pPr>
        <w:pStyle w:val="BodyText"/>
        <w:rPr>
          <w:b/>
          <w:bCs/>
          <w:u w:val="single"/>
        </w:rPr>
      </w:pPr>
      <w:r w:rsidRPr="00F60AB3">
        <w:rPr>
          <w:b/>
          <w:u w:val="single"/>
        </w:rPr>
        <w:t>Frequency domain resource allocation aspects</w:t>
      </w:r>
    </w:p>
    <w:p w14:paraId="2B1E836C" w14:textId="51BB40D5" w:rsidR="00860B71" w:rsidRPr="0048482F" w:rsidRDefault="00192E2D" w:rsidP="00184FCE">
      <w:pPr>
        <w:pStyle w:val="BodyText"/>
        <w:rPr>
          <w:i/>
          <w:color w:val="000000"/>
        </w:rPr>
      </w:pPr>
      <w:r>
        <w:t>F</w:t>
      </w:r>
      <w:r w:rsidR="00013F9B">
        <w:t xml:space="preserve">requency resource allocation </w:t>
      </w:r>
      <w:r w:rsidR="00E207F6">
        <w:t>Type 0 and Type 1</w:t>
      </w:r>
      <w:r w:rsidR="0020212A">
        <w:t xml:space="preserve"> are similarly supported for both downlink and uplink</w:t>
      </w:r>
      <w:r w:rsidR="00E207F6">
        <w:t xml:space="preserve">. </w:t>
      </w:r>
      <w:r w:rsidR="00D74529">
        <w:t>W</w:t>
      </w:r>
      <w:r w:rsidR="00B55FC2">
        <w:t xml:space="preserve">hen </w:t>
      </w:r>
      <w:r w:rsidR="0020212A">
        <w:t>T</w:t>
      </w:r>
      <w:r w:rsidR="002A1C41" w:rsidRPr="0048482F">
        <w:t xml:space="preserve">ype </w:t>
      </w:r>
      <w:r w:rsidR="002A1C41">
        <w:t>0</w:t>
      </w:r>
      <w:r w:rsidR="002A1C41" w:rsidRPr="0048482F">
        <w:t xml:space="preserve"> resource allocation</w:t>
      </w:r>
      <w:r w:rsidR="00B55FC2">
        <w:t xml:space="preserve"> is used</w:t>
      </w:r>
      <w:r w:rsidR="00E207F6">
        <w:t>,</w:t>
      </w:r>
      <w:r w:rsidR="00D726ED">
        <w:t xml:space="preserve"> </w:t>
      </w:r>
      <w:r w:rsidR="00B55FC2">
        <w:t>a</w:t>
      </w:r>
      <w:r w:rsidR="00E207F6">
        <w:t xml:space="preserve"> </w:t>
      </w:r>
      <w:r w:rsidR="00860B71" w:rsidRPr="00184FCE">
        <w:t>bitmap indicat</w:t>
      </w:r>
      <w:r w:rsidR="00D34CDC" w:rsidRPr="00184FCE">
        <w:t>e</w:t>
      </w:r>
      <w:r w:rsidR="00B55FC2" w:rsidRPr="00184FCE">
        <w:t>s</w:t>
      </w:r>
      <w:r w:rsidR="00860B71" w:rsidRPr="00184FCE">
        <w:t xml:space="preserve"> the Resource Block Groups (RBGs) that are allocated to the scheduled UE where a RBG is a set of consecutive virtual resource blocks defined by higher layer parameter rbg-Size configured by P</w:t>
      </w:r>
      <w:r w:rsidR="00651DA7">
        <w:t>X</w:t>
      </w:r>
      <w:r w:rsidR="00860B71" w:rsidRPr="00184FCE">
        <w:t xml:space="preserve">SCH-Config and the size of the bandwidth part as defined in </w:t>
      </w:r>
      <w:r w:rsidR="00584C88">
        <w:fldChar w:fldCharType="begin"/>
      </w:r>
      <w:r w:rsidR="00584C88">
        <w:instrText xml:space="preserve"> REF _Ref46928520 \h </w:instrText>
      </w:r>
      <w:r w:rsidR="00584C88">
        <w:fldChar w:fldCharType="separate"/>
      </w:r>
      <w:r w:rsidR="00CF206F">
        <w:t xml:space="preserve">Table </w:t>
      </w:r>
      <w:r w:rsidR="00CF206F">
        <w:rPr>
          <w:noProof/>
        </w:rPr>
        <w:t>6</w:t>
      </w:r>
      <w:r w:rsidR="00584C88">
        <w:fldChar w:fldCharType="end"/>
      </w:r>
      <w:r w:rsidR="006B6998">
        <w:t>.</w:t>
      </w:r>
    </w:p>
    <w:p w14:paraId="279D2578" w14:textId="3861420A" w:rsidR="00C66DBE" w:rsidRDefault="00C66DBE" w:rsidP="00E12344">
      <w:pPr>
        <w:pStyle w:val="StyleCaptionCentered"/>
      </w:pPr>
      <w:bookmarkStart w:id="594" w:name="_Ref46928520"/>
      <w:r>
        <w:t xml:space="preserve">Table </w:t>
      </w:r>
      <w:r>
        <w:fldChar w:fldCharType="begin"/>
      </w:r>
      <w:r>
        <w:instrText>SEQ Table \* ARABIC</w:instrText>
      </w:r>
      <w:r>
        <w:fldChar w:fldCharType="separate"/>
      </w:r>
      <w:r w:rsidR="00CF206F">
        <w:rPr>
          <w:noProof/>
        </w:rPr>
        <w:t>6</w:t>
      </w:r>
      <w:r>
        <w:fldChar w:fldCharType="end"/>
      </w:r>
      <w:bookmarkEnd w:id="594"/>
      <w:r>
        <w:t xml:space="preserve">: </w:t>
      </w:r>
      <w:r w:rsidRPr="0040497C">
        <w:t>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860B71" w:rsidRPr="0048482F" w14:paraId="7DB8882C" w14:textId="77777777" w:rsidTr="009376F7">
        <w:trPr>
          <w:jc w:val="center"/>
        </w:trPr>
        <w:tc>
          <w:tcPr>
            <w:tcW w:w="2805" w:type="dxa"/>
            <w:shd w:val="clear" w:color="auto" w:fill="FFFFFF" w:themeFill="background1"/>
          </w:tcPr>
          <w:p w14:paraId="4CA48FE3" w14:textId="77777777" w:rsidR="00860B71" w:rsidRPr="00E17FE7" w:rsidRDefault="00860B71" w:rsidP="008B06FC">
            <w:pPr>
              <w:pStyle w:val="TAH"/>
              <w:shd w:val="clear" w:color="auto" w:fill="E7E6E6" w:themeFill="background2"/>
              <w:rPr>
                <w:rFonts w:eastAsia="Batang"/>
                <w:color w:val="000000"/>
                <w:lang w:val="en-GB"/>
              </w:rPr>
            </w:pPr>
            <w:r w:rsidRPr="00E17FE7">
              <w:rPr>
                <w:rFonts w:eastAsia="Batang"/>
                <w:color w:val="000000"/>
                <w:lang w:val="en-GB"/>
              </w:rPr>
              <w:t>Bandwidth Part Size</w:t>
            </w:r>
          </w:p>
        </w:tc>
        <w:tc>
          <w:tcPr>
            <w:tcW w:w="2328" w:type="dxa"/>
            <w:shd w:val="clear" w:color="auto" w:fill="FFFFFF" w:themeFill="background1"/>
          </w:tcPr>
          <w:p w14:paraId="6030E682" w14:textId="77777777" w:rsidR="00860B71" w:rsidRPr="00E17FE7" w:rsidRDefault="00860B71" w:rsidP="008B06FC">
            <w:pPr>
              <w:pStyle w:val="TAH"/>
              <w:shd w:val="clear" w:color="auto" w:fill="E7E6E6" w:themeFill="background2"/>
              <w:rPr>
                <w:rFonts w:eastAsia="Batang"/>
                <w:color w:val="000000"/>
                <w:lang w:val="en-GB"/>
              </w:rPr>
            </w:pPr>
            <w:r w:rsidRPr="00E17FE7">
              <w:rPr>
                <w:rFonts w:eastAsia="Batang"/>
                <w:color w:val="000000"/>
                <w:lang w:val="en-GB"/>
              </w:rPr>
              <w:t>Configuration 1</w:t>
            </w:r>
          </w:p>
        </w:tc>
        <w:tc>
          <w:tcPr>
            <w:tcW w:w="2328" w:type="dxa"/>
            <w:shd w:val="clear" w:color="auto" w:fill="FFFFFF" w:themeFill="background1"/>
          </w:tcPr>
          <w:p w14:paraId="4F07EA68" w14:textId="77777777" w:rsidR="00860B71" w:rsidRPr="00E17FE7" w:rsidRDefault="00860B71" w:rsidP="008B06FC">
            <w:pPr>
              <w:pStyle w:val="TAH"/>
              <w:shd w:val="clear" w:color="auto" w:fill="E7E6E6" w:themeFill="background2"/>
              <w:rPr>
                <w:rFonts w:eastAsia="Batang"/>
                <w:color w:val="000000"/>
                <w:lang w:val="en-GB"/>
              </w:rPr>
            </w:pPr>
            <w:r w:rsidRPr="00E17FE7">
              <w:rPr>
                <w:rFonts w:eastAsia="Batang"/>
                <w:color w:val="000000"/>
                <w:lang w:val="en-GB"/>
              </w:rPr>
              <w:t>Configuration 2</w:t>
            </w:r>
          </w:p>
        </w:tc>
      </w:tr>
      <w:tr w:rsidR="00860B71" w:rsidRPr="0048482F" w14:paraId="1E63AE78" w14:textId="77777777" w:rsidTr="009376F7">
        <w:trPr>
          <w:jc w:val="center"/>
        </w:trPr>
        <w:tc>
          <w:tcPr>
            <w:tcW w:w="2805" w:type="dxa"/>
            <w:shd w:val="clear" w:color="auto" w:fill="FFFFFF" w:themeFill="background1"/>
          </w:tcPr>
          <w:p w14:paraId="2B4CEB82"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1 – 36</w:t>
            </w:r>
          </w:p>
        </w:tc>
        <w:tc>
          <w:tcPr>
            <w:tcW w:w="2328" w:type="dxa"/>
            <w:shd w:val="clear" w:color="auto" w:fill="FFFFFF" w:themeFill="background1"/>
          </w:tcPr>
          <w:p w14:paraId="40F3A6E1"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2</w:t>
            </w:r>
          </w:p>
        </w:tc>
        <w:tc>
          <w:tcPr>
            <w:tcW w:w="2328" w:type="dxa"/>
            <w:shd w:val="clear" w:color="auto" w:fill="FFFFFF" w:themeFill="background1"/>
          </w:tcPr>
          <w:p w14:paraId="5E55D89C"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4</w:t>
            </w:r>
          </w:p>
        </w:tc>
      </w:tr>
      <w:tr w:rsidR="00860B71" w:rsidRPr="0048482F" w14:paraId="00813299" w14:textId="77777777" w:rsidTr="009376F7">
        <w:trPr>
          <w:jc w:val="center"/>
        </w:trPr>
        <w:tc>
          <w:tcPr>
            <w:tcW w:w="2805" w:type="dxa"/>
            <w:shd w:val="clear" w:color="auto" w:fill="FFFFFF" w:themeFill="background1"/>
          </w:tcPr>
          <w:p w14:paraId="7128E43E"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37 – 72</w:t>
            </w:r>
          </w:p>
        </w:tc>
        <w:tc>
          <w:tcPr>
            <w:tcW w:w="2328" w:type="dxa"/>
            <w:shd w:val="clear" w:color="auto" w:fill="FFFFFF" w:themeFill="background1"/>
          </w:tcPr>
          <w:p w14:paraId="48C916A2"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4</w:t>
            </w:r>
          </w:p>
        </w:tc>
        <w:tc>
          <w:tcPr>
            <w:tcW w:w="2328" w:type="dxa"/>
            <w:shd w:val="clear" w:color="auto" w:fill="FFFFFF" w:themeFill="background1"/>
          </w:tcPr>
          <w:p w14:paraId="65762548"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8</w:t>
            </w:r>
          </w:p>
        </w:tc>
      </w:tr>
      <w:tr w:rsidR="00860B71" w:rsidRPr="0048482F" w14:paraId="3C7006B8" w14:textId="77777777" w:rsidTr="009376F7">
        <w:trPr>
          <w:jc w:val="center"/>
        </w:trPr>
        <w:tc>
          <w:tcPr>
            <w:tcW w:w="2805" w:type="dxa"/>
            <w:shd w:val="clear" w:color="auto" w:fill="FFFFFF" w:themeFill="background1"/>
          </w:tcPr>
          <w:p w14:paraId="777EB939"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73 – 144</w:t>
            </w:r>
          </w:p>
        </w:tc>
        <w:tc>
          <w:tcPr>
            <w:tcW w:w="2328" w:type="dxa"/>
            <w:shd w:val="clear" w:color="auto" w:fill="FFFFFF" w:themeFill="background1"/>
          </w:tcPr>
          <w:p w14:paraId="5394AEE7"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8</w:t>
            </w:r>
          </w:p>
        </w:tc>
        <w:tc>
          <w:tcPr>
            <w:tcW w:w="2328" w:type="dxa"/>
            <w:shd w:val="clear" w:color="auto" w:fill="FFFFFF" w:themeFill="background1"/>
          </w:tcPr>
          <w:p w14:paraId="0A06A837"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16</w:t>
            </w:r>
          </w:p>
        </w:tc>
      </w:tr>
      <w:tr w:rsidR="00860B71" w:rsidRPr="0048482F" w14:paraId="7B71F287" w14:textId="77777777" w:rsidTr="009376F7">
        <w:trPr>
          <w:jc w:val="center"/>
        </w:trPr>
        <w:tc>
          <w:tcPr>
            <w:tcW w:w="2805" w:type="dxa"/>
            <w:shd w:val="clear" w:color="auto" w:fill="FFFFFF" w:themeFill="background1"/>
          </w:tcPr>
          <w:p w14:paraId="30BE9849"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145 – 275</w:t>
            </w:r>
          </w:p>
        </w:tc>
        <w:tc>
          <w:tcPr>
            <w:tcW w:w="2328" w:type="dxa"/>
            <w:shd w:val="clear" w:color="auto" w:fill="FFFFFF" w:themeFill="background1"/>
          </w:tcPr>
          <w:p w14:paraId="1AE50163"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16</w:t>
            </w:r>
          </w:p>
        </w:tc>
        <w:tc>
          <w:tcPr>
            <w:tcW w:w="2328" w:type="dxa"/>
            <w:shd w:val="clear" w:color="auto" w:fill="FFFFFF" w:themeFill="background1"/>
          </w:tcPr>
          <w:p w14:paraId="5E72F6C6"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16</w:t>
            </w:r>
          </w:p>
        </w:tc>
      </w:tr>
    </w:tbl>
    <w:p w14:paraId="5D7214C2" w14:textId="77777777" w:rsidR="00860B71" w:rsidRDefault="00860B71" w:rsidP="00860B71">
      <w:pPr>
        <w:rPr>
          <w:color w:val="ED7D31" w:themeColor="accent2"/>
        </w:rPr>
      </w:pPr>
    </w:p>
    <w:p w14:paraId="058FA54E" w14:textId="4640EEE9" w:rsidR="002A1C41" w:rsidRPr="00D04871" w:rsidRDefault="002A1C41" w:rsidP="00184FCE">
      <w:pPr>
        <w:pStyle w:val="BodyText"/>
      </w:pPr>
      <w:r>
        <w:t xml:space="preserve">When </w:t>
      </w:r>
      <w:r w:rsidRPr="0048482F">
        <w:t>downlink type 1 resource allocation</w:t>
      </w:r>
      <w:r w:rsidR="006C48C5">
        <w:t xml:space="preserve"> is used, the FDRA</w:t>
      </w:r>
      <w:r w:rsidRPr="0048482F">
        <w:t xml:space="preserve"> field consists of </w:t>
      </w:r>
      <w:r w:rsidRPr="00184FCE">
        <w:t xml:space="preserve">a resource indication value (RIV) corresponding to a starting resource block group </w:t>
      </w:r>
      <w:r w:rsidR="00950405" w:rsidRPr="000849C8">
        <w:rPr>
          <w:i/>
          <w:iCs/>
          <w:color w:val="000000"/>
        </w:rPr>
        <w:t>RBG</w:t>
      </w:r>
      <w:r w:rsidR="00950405" w:rsidRPr="000849C8">
        <w:rPr>
          <w:i/>
          <w:iCs/>
          <w:color w:val="000000"/>
          <w:vertAlign w:val="subscript"/>
        </w:rPr>
        <w:t>start</w:t>
      </w:r>
      <w:r w:rsidR="00950405" w:rsidRPr="000849C8">
        <w:rPr>
          <w:color w:val="000000"/>
        </w:rPr>
        <w:t>=0,</w:t>
      </w:r>
      <w:r w:rsidR="00950405">
        <w:rPr>
          <w:color w:val="000000"/>
        </w:rPr>
        <w:t xml:space="preserve"> </w:t>
      </w:r>
      <w:r w:rsidR="00950405" w:rsidRPr="000849C8">
        <w:rPr>
          <w:color w:val="000000"/>
        </w:rPr>
        <w:t>1,</w:t>
      </w:r>
      <w:r w:rsidR="00950405">
        <w:rPr>
          <w:color w:val="000000"/>
        </w:rPr>
        <w:t xml:space="preserve"> </w:t>
      </w:r>
      <w:r w:rsidR="00950405" w:rsidRPr="000849C8">
        <w:rPr>
          <w:color w:val="000000"/>
        </w:rPr>
        <w:t>…,</w:t>
      </w:r>
      <w:r w:rsidR="00950405">
        <w:rPr>
          <w:color w:val="000000"/>
        </w:rPr>
        <w:t xml:space="preserve"> </w:t>
      </w:r>
      <w:r w:rsidR="00950405" w:rsidRPr="000849C8">
        <w:rPr>
          <w:i/>
          <w:iCs/>
          <w:color w:val="000000"/>
        </w:rPr>
        <w:t>N</w:t>
      </w:r>
      <w:r w:rsidR="00950405" w:rsidRPr="000849C8">
        <w:rPr>
          <w:i/>
          <w:iCs/>
          <w:color w:val="000000"/>
          <w:vertAlign w:val="subscript"/>
        </w:rPr>
        <w:t>RBG</w:t>
      </w:r>
      <w:r w:rsidR="00950405" w:rsidRPr="000849C8">
        <w:rPr>
          <w:color w:val="000000"/>
        </w:rPr>
        <w:t xml:space="preserve">-1 </w:t>
      </w:r>
      <w:r w:rsidRPr="00184FCE">
        <w:t xml:space="preserve">and a length in terms of virtually contiguously allocated resource block groups </w:t>
      </w:r>
      <w:r w:rsidR="000624CA" w:rsidRPr="000849C8">
        <w:rPr>
          <w:i/>
          <w:iCs/>
          <w:color w:val="000000"/>
        </w:rPr>
        <w:t>L</w:t>
      </w:r>
      <w:r w:rsidR="000624CA" w:rsidRPr="000849C8">
        <w:rPr>
          <w:i/>
          <w:iCs/>
          <w:color w:val="000000"/>
          <w:vertAlign w:val="subscript"/>
        </w:rPr>
        <w:t>RBGs</w:t>
      </w:r>
      <w:r w:rsidR="000624CA" w:rsidRPr="000849C8">
        <w:rPr>
          <w:color w:val="000000"/>
        </w:rPr>
        <w:t>=1,</w:t>
      </w:r>
      <w:r w:rsidR="000624CA">
        <w:rPr>
          <w:color w:val="000000"/>
        </w:rPr>
        <w:t xml:space="preserve"> </w:t>
      </w:r>
      <w:r w:rsidR="000624CA" w:rsidRPr="000849C8">
        <w:rPr>
          <w:color w:val="000000"/>
        </w:rPr>
        <w:t>…,</w:t>
      </w:r>
      <w:r w:rsidR="000624CA">
        <w:rPr>
          <w:color w:val="000000"/>
        </w:rPr>
        <w:t xml:space="preserve"> </w:t>
      </w:r>
      <w:r w:rsidR="000624CA" w:rsidRPr="000849C8">
        <w:rPr>
          <w:i/>
          <w:iCs/>
          <w:color w:val="000000"/>
        </w:rPr>
        <w:t>N</w:t>
      </w:r>
      <w:r w:rsidR="000624CA" w:rsidRPr="000849C8">
        <w:rPr>
          <w:i/>
          <w:iCs/>
          <w:color w:val="000000"/>
          <w:vertAlign w:val="subscript"/>
        </w:rPr>
        <w:t>RBG</w:t>
      </w:r>
      <w:r w:rsidR="00C473FE" w:rsidRPr="00184FCE">
        <w:t xml:space="preserve">. </w:t>
      </w:r>
      <w:r w:rsidR="00D04871">
        <w:t>Type 1 scheduling on RBG level was introduced in rel-16 for DCI 1_2 and DCI 0_2. However, the supported granularit</w:t>
      </w:r>
      <w:r w:rsidR="000624CA">
        <w:t>ies</w:t>
      </w:r>
      <w:r w:rsidR="00D04871">
        <w:t xml:space="preserve"> are the same as for Type 0. </w:t>
      </w:r>
    </w:p>
    <w:p w14:paraId="1D79DEE7" w14:textId="115F692B" w:rsidR="006B6998" w:rsidRDefault="00B42F98" w:rsidP="00A7557F">
      <w:pPr>
        <w:pStyle w:val="BodyText"/>
      </w:pPr>
      <w:r>
        <w:t xml:space="preserve">Assuming a channel bandwidth of 1.6 GHz with 480 kHz SCS, </w:t>
      </w:r>
      <w:r w:rsidR="0065697E">
        <w:t xml:space="preserve">the </w:t>
      </w:r>
      <w:r w:rsidR="007D63C1">
        <w:t xml:space="preserve">FDRA bit field carried in the </w:t>
      </w:r>
      <w:r w:rsidR="00E30ACD">
        <w:t xml:space="preserve">DL and UL </w:t>
      </w:r>
      <w:r w:rsidR="007D63C1">
        <w:t xml:space="preserve">DCI can be up to </w:t>
      </w:r>
      <w:r w:rsidR="000E26BC">
        <w:t>1</w:t>
      </w:r>
      <w:r w:rsidR="00137386">
        <w:t>6</w:t>
      </w:r>
      <w:r w:rsidR="000E26BC">
        <w:t xml:space="preserve"> bits</w:t>
      </w:r>
      <w:r w:rsidR="00137386">
        <w:t>,</w:t>
      </w:r>
      <w:r w:rsidR="000E26BC" w:rsidDel="007E357F">
        <w:t xml:space="preserve"> </w:t>
      </w:r>
      <w:r w:rsidR="00137386">
        <w:t>which can negatively impact the coverage of NR operation in 52.6 to 71 GHz.</w:t>
      </w:r>
      <w:r w:rsidR="00376FDA">
        <w:t xml:space="preserve"> </w:t>
      </w:r>
      <w:r w:rsidR="009F4BD6">
        <w:t xml:space="preserve">Operation </w:t>
      </w:r>
      <w:r w:rsidR="000C28F1">
        <w:t xml:space="preserve">on </w:t>
      </w:r>
      <w:r w:rsidR="00DD6B00">
        <w:t>such a large bandwidth, assumes quite good channel conditions and transmissions that are large in bandwidth. Also, given the high directivity of the transmission, frequency multiplexing of UE becomes less applicable.</w:t>
      </w:r>
      <w:r w:rsidR="00CB041E">
        <w:t xml:space="preserve"> </w:t>
      </w:r>
      <w:r w:rsidR="00FF7146" w:rsidRPr="00F94015">
        <w:t>Such fine</w:t>
      </w:r>
      <w:r w:rsidR="00F21ED9" w:rsidRPr="00F94015">
        <w:t xml:space="preserve"> scheduling granularity </w:t>
      </w:r>
      <w:r w:rsidR="00D06CCE" w:rsidRPr="00F94015">
        <w:t xml:space="preserve">provided by configuration 1 and 2 </w:t>
      </w:r>
      <w:r w:rsidR="00FC40E3" w:rsidRPr="00F94015">
        <w:t xml:space="preserve">may not be needed </w:t>
      </w:r>
      <w:r w:rsidR="00051C27" w:rsidRPr="00F94015">
        <w:t>for 60GHz operation</w:t>
      </w:r>
      <w:r w:rsidR="005E1FDF" w:rsidRPr="00F94015">
        <w:t>.</w:t>
      </w:r>
      <w:r w:rsidR="00D90F92" w:rsidRPr="00F94015">
        <w:t xml:space="preserve"> </w:t>
      </w:r>
      <w:r w:rsidR="00187BF0" w:rsidRPr="00F94015">
        <w:t>G</w:t>
      </w:r>
      <w:r w:rsidR="006E1D70" w:rsidRPr="00F94015">
        <w:t xml:space="preserve">iven the </w:t>
      </w:r>
      <w:r w:rsidR="0079088A" w:rsidRPr="00F94015">
        <w:t xml:space="preserve">impact of DCI </w:t>
      </w:r>
      <w:r w:rsidR="001D5E88" w:rsidRPr="00F94015">
        <w:t>size</w:t>
      </w:r>
      <w:r w:rsidR="0079088A" w:rsidRPr="00F94015">
        <w:t xml:space="preserve"> on </w:t>
      </w:r>
      <w:r w:rsidR="001D5E88" w:rsidRPr="00F94015">
        <w:t>coverage, RAN1 should conside</w:t>
      </w:r>
      <w:r w:rsidR="00E31B78" w:rsidRPr="00F94015">
        <w:t>r</w:t>
      </w:r>
      <w:r w:rsidR="005766ED" w:rsidRPr="00F94015">
        <w:t xml:space="preserve"> DCI size reduction</w:t>
      </w:r>
      <w:r w:rsidR="00E31B78" w:rsidRPr="00F94015">
        <w:t xml:space="preserve">, and FDRA </w:t>
      </w:r>
      <w:r w:rsidR="00AC1969" w:rsidRPr="00F94015">
        <w:t xml:space="preserve">fields </w:t>
      </w:r>
      <w:r w:rsidR="00E31B78" w:rsidRPr="00F94015">
        <w:t xml:space="preserve">is one of the candidate fields that </w:t>
      </w:r>
      <w:r w:rsidR="009D77D1" w:rsidRPr="00F94015">
        <w:t>can be investi</w:t>
      </w:r>
      <w:r w:rsidR="00AC1969" w:rsidRPr="00F94015">
        <w:t>gated.</w:t>
      </w:r>
    </w:p>
    <w:p w14:paraId="47B07EBA" w14:textId="77777777" w:rsidR="00A7557F" w:rsidRDefault="00A7557F" w:rsidP="00A7557F">
      <w:pPr>
        <w:pStyle w:val="BodyText"/>
      </w:pPr>
    </w:p>
    <w:p w14:paraId="57FF77B4" w14:textId="1B72C846" w:rsidR="00FA5B47" w:rsidRDefault="00FA5B47" w:rsidP="00184FCE">
      <w:pPr>
        <w:pStyle w:val="Proposal"/>
      </w:pPr>
      <w:bookmarkStart w:id="595" w:name="_Toc47014979"/>
      <w:bookmarkStart w:id="596" w:name="_Toc47086052"/>
      <w:bookmarkStart w:id="597" w:name="_Toc47712052"/>
      <w:bookmarkEnd w:id="595"/>
      <w:bookmarkEnd w:id="596"/>
      <w:r>
        <w:t xml:space="preserve">For 60GHz operation, </w:t>
      </w:r>
      <w:r w:rsidR="00B159F0">
        <w:t>reduce the FDRA fields size by supporting larger RBG sizes.</w:t>
      </w:r>
      <w:bookmarkEnd w:id="597"/>
      <w:r w:rsidR="00B159F0">
        <w:t xml:space="preserve"> </w:t>
      </w:r>
    </w:p>
    <w:p w14:paraId="67693BB2" w14:textId="77777777" w:rsidR="00991FB4" w:rsidRPr="00991FB4" w:rsidRDefault="00991FB4" w:rsidP="00991FB4">
      <w:pPr>
        <w:pStyle w:val="BodyText"/>
      </w:pPr>
    </w:p>
    <w:p w14:paraId="0B5DF176" w14:textId="744590AA" w:rsidR="008A2C71" w:rsidRPr="00CE0424" w:rsidRDefault="00C31E07" w:rsidP="008A2C71">
      <w:pPr>
        <w:pStyle w:val="Heading1"/>
      </w:pPr>
      <w:bookmarkStart w:id="598" w:name="_Toc46307406"/>
      <w:bookmarkStart w:id="599" w:name="_Toc47530184"/>
      <w:r>
        <w:t>5</w:t>
      </w:r>
      <w:r>
        <w:tab/>
      </w:r>
      <w:r w:rsidR="008A2C71" w:rsidRPr="00CE0424">
        <w:t>Conclusion</w:t>
      </w:r>
      <w:bookmarkEnd w:id="598"/>
      <w:bookmarkEnd w:id="599"/>
    </w:p>
    <w:p w14:paraId="38A6F6F5" w14:textId="075786B2" w:rsidR="008A1BF3" w:rsidRDefault="00F4098C" w:rsidP="008A2C71">
      <w:pPr>
        <w:pStyle w:val="BodyText"/>
      </w:pPr>
      <w:r>
        <w:t>In this contribution, we first discuss the selection of maximum channel bandwidth from regulatory, practical coexistence and engineering points of view. We then examine if the impact of different sub-carrier spacings on a diverse range of system aspects: (1) phase noise handling with extensive link level evaluation results, (2) cyclic prefix lengths and applicable environments, (3) frequency and timing estimation tolerance issues, (4) coverage and applicable deployments, and (5) processing time issues. Finally, we discuss a few potential enhancements that are beneficial to NR operation in 52.6 to 71 GHz.</w:t>
      </w:r>
      <w:sdt>
        <w:sdtPr>
          <w:id w:val="-1158602291"/>
          <w:docPartObj>
            <w:docPartGallery w:val="Table of Contents"/>
            <w:docPartUnique/>
          </w:docPartObj>
        </w:sdtPr>
        <w:sdtEndPr>
          <w:rPr>
            <w:b/>
            <w:bCs/>
            <w:noProof/>
          </w:rPr>
        </w:sdtEndPr>
        <w:sdtContent>
          <w:r>
            <w:t xml:space="preserve"> </w:t>
          </w:r>
          <w:r w:rsidR="00722808">
            <w:t>The following observations can be drawn:</w:t>
          </w:r>
        </w:sdtContent>
      </w:sdt>
    </w:p>
    <w:p w14:paraId="52DAE172" w14:textId="77777777" w:rsidR="00CF206F" w:rsidRDefault="003C5C90">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\f O \n \h \z \t "Observation" \c </w:instrText>
      </w:r>
      <w:r>
        <w:rPr>
          <w:b w:val="0"/>
          <w:bCs/>
        </w:rPr>
        <w:fldChar w:fldCharType="separate"/>
      </w:r>
      <w:hyperlink w:anchor="_Toc47712016" w:history="1">
        <w:r w:rsidR="00CF206F" w:rsidRPr="006A3AFA">
          <w:rPr>
            <w:rStyle w:val="Hyperlink"/>
            <w:noProof/>
          </w:rPr>
          <w:t>Observation 1</w:t>
        </w:r>
        <w:r w:rsidR="00CF206F">
          <w:rPr>
            <w:rFonts w:asciiTheme="minorHAnsi" w:eastAsiaTheme="minorEastAsia" w:hAnsiTheme="minorHAnsi" w:cstheme="minorBidi"/>
            <w:b w:val="0"/>
            <w:noProof/>
            <w:sz w:val="22"/>
            <w:szCs w:val="22"/>
            <w:lang w:eastAsia="en-US"/>
          </w:rPr>
          <w:tab/>
        </w:r>
        <w:r w:rsidR="00CF206F" w:rsidRPr="006A3AFA">
          <w:rPr>
            <w:rStyle w:val="Hyperlink"/>
            <w:noProof/>
            <w:lang w:val="en-GB"/>
          </w:rPr>
          <w:t>There is no regulatory or practical need to align the channel bandwidth (e.g., 2.16 GHz) with other technologies operating in the same 60 GHz band for coexistence purposes.</w:t>
        </w:r>
      </w:hyperlink>
    </w:p>
    <w:p w14:paraId="3207A1EA"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17" w:history="1">
        <w:r w:rsidRPr="006A3AFA">
          <w:rPr>
            <w:rStyle w:val="Hyperlink"/>
            <w:noProof/>
          </w:rPr>
          <w:t>Observation 2</w:t>
        </w:r>
        <w:r>
          <w:rPr>
            <w:rFonts w:asciiTheme="minorHAnsi" w:eastAsiaTheme="minorEastAsia" w:hAnsiTheme="minorHAnsi" w:cstheme="minorBidi"/>
            <w:b w:val="0"/>
            <w:noProof/>
            <w:sz w:val="22"/>
            <w:szCs w:val="22"/>
            <w:lang w:eastAsia="en-US"/>
          </w:rPr>
          <w:tab/>
        </w:r>
        <w:r w:rsidRPr="006A3AFA">
          <w:rPr>
            <w:rStyle w:val="Hyperlink"/>
            <w:noProof/>
          </w:rPr>
          <w:t>Targeting a large bandwidth that is incompatible with 3GPP numerology (e.g., 2.16 GHz) is not beneficial to NR operation in the 52.6 to 71 GHz range</w:t>
        </w:r>
        <w:r w:rsidRPr="006A3AFA">
          <w:rPr>
            <w:rStyle w:val="Hyperlink"/>
            <w:noProof/>
            <w:lang w:val="en-GB"/>
          </w:rPr>
          <w:t>.</w:t>
        </w:r>
      </w:hyperlink>
    </w:p>
    <w:p w14:paraId="69DB5D21"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18" w:history="1">
        <w:r w:rsidRPr="006A3AFA">
          <w:rPr>
            <w:rStyle w:val="Hyperlink"/>
            <w:noProof/>
          </w:rPr>
          <w:t>Observation 3</w:t>
        </w:r>
        <w:r>
          <w:rPr>
            <w:rFonts w:asciiTheme="minorHAnsi" w:eastAsiaTheme="minorEastAsia" w:hAnsiTheme="minorHAnsi" w:cstheme="minorBidi"/>
            <w:b w:val="0"/>
            <w:noProof/>
            <w:sz w:val="22"/>
            <w:szCs w:val="22"/>
            <w:lang w:eastAsia="en-US"/>
          </w:rPr>
          <w:tab/>
        </w:r>
        <w:r w:rsidRPr="006A3AFA">
          <w:rPr>
            <w:rStyle w:val="Hyperlink"/>
            <w:noProof/>
          </w:rPr>
          <w:t>Phase noise induced performance issues for the OFDM waveform in the 52.6 – 71 GHz frequency range can be effectively addressed with the Rel-15 PTRS structure and simple ICI compensation algorithms. Performance with SCS of 480, 240, and 120 kHz SCS with simple ICI compensation is on par or better than the performance with 960 kHz with CPE compensation only.</w:t>
        </w:r>
      </w:hyperlink>
    </w:p>
    <w:p w14:paraId="1F90B400"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19" w:history="1">
        <w:r w:rsidRPr="006A3AFA">
          <w:rPr>
            <w:rStyle w:val="Hyperlink"/>
            <w:noProof/>
          </w:rPr>
          <w:t>Observation 4</w:t>
        </w:r>
        <w:r>
          <w:rPr>
            <w:rFonts w:asciiTheme="minorHAnsi" w:eastAsiaTheme="minorEastAsia" w:hAnsiTheme="minorHAnsi" w:cstheme="minorBidi"/>
            <w:b w:val="0"/>
            <w:noProof/>
            <w:sz w:val="22"/>
            <w:szCs w:val="22"/>
            <w:lang w:eastAsia="en-US"/>
          </w:rPr>
          <w:tab/>
        </w:r>
        <w:r w:rsidRPr="006A3AFA">
          <w:rPr>
            <w:rStyle w:val="Hyperlink"/>
            <w:noProof/>
          </w:rPr>
          <w:t>Without proper randomization of the relative UE-gNB array orientations, the delay spread statistics can be substantially under-estimated.</w:t>
        </w:r>
      </w:hyperlink>
    </w:p>
    <w:p w14:paraId="0D5624E4"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0" w:history="1">
        <w:r w:rsidRPr="006A3AFA">
          <w:rPr>
            <w:rStyle w:val="Hyperlink"/>
            <w:noProof/>
          </w:rPr>
          <w:t>Observation 5</w:t>
        </w:r>
        <w:r>
          <w:rPr>
            <w:rFonts w:asciiTheme="minorHAnsi" w:eastAsiaTheme="minorEastAsia" w:hAnsiTheme="minorHAnsi" w:cstheme="minorBidi"/>
            <w:b w:val="0"/>
            <w:noProof/>
            <w:sz w:val="22"/>
            <w:szCs w:val="22"/>
            <w:lang w:eastAsia="en-US"/>
          </w:rPr>
          <w:tab/>
        </w:r>
        <w:r w:rsidRPr="006A3AFA">
          <w:rPr>
            <w:rStyle w:val="Hyperlink"/>
            <w:noProof/>
          </w:rPr>
          <w:t>A single panel UE, or a dual panel UE with one panel fully/partially blocked, experiences larger delay spreads than a dual panel UE without any blocking.</w:t>
        </w:r>
      </w:hyperlink>
    </w:p>
    <w:p w14:paraId="3CD1FDD8"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1" w:history="1">
        <w:r w:rsidRPr="006A3AFA">
          <w:rPr>
            <w:rStyle w:val="Hyperlink"/>
            <w:noProof/>
          </w:rPr>
          <w:t>Observation 6</w:t>
        </w:r>
        <w:r>
          <w:rPr>
            <w:rFonts w:asciiTheme="minorHAnsi" w:eastAsiaTheme="minorEastAsia" w:hAnsiTheme="minorHAnsi" w:cstheme="minorBidi"/>
            <w:b w:val="0"/>
            <w:noProof/>
            <w:sz w:val="22"/>
            <w:szCs w:val="22"/>
            <w:lang w:eastAsia="en-US"/>
          </w:rPr>
          <w:tab/>
        </w:r>
        <w:r w:rsidRPr="006A3AFA">
          <w:rPr>
            <w:rStyle w:val="Hyperlink"/>
            <w:noProof/>
          </w:rPr>
          <w:t>Phase noise induced performance issues for the DFT-s-OFDM waveform in the 52.6 – 71 GHz frequency range can be addressed with the Rel-15 uplink PTRS structure and currently supported SCS values, e.g., 120 kHz.</w:t>
        </w:r>
      </w:hyperlink>
    </w:p>
    <w:p w14:paraId="5F041817"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2" w:history="1">
        <w:r w:rsidRPr="006A3AFA">
          <w:rPr>
            <w:rStyle w:val="Hyperlink"/>
            <w:noProof/>
          </w:rPr>
          <w:t>Observation 7</w:t>
        </w:r>
        <w:r>
          <w:rPr>
            <w:rFonts w:asciiTheme="minorHAnsi" w:eastAsiaTheme="minorEastAsia" w:hAnsiTheme="minorHAnsi" w:cstheme="minorBidi"/>
            <w:b w:val="0"/>
            <w:noProof/>
            <w:sz w:val="22"/>
            <w:szCs w:val="22"/>
            <w:lang w:eastAsia="en-US"/>
          </w:rPr>
          <w:tab/>
        </w:r>
        <w:r w:rsidRPr="006A3AFA">
          <w:rPr>
            <w:rStyle w:val="Hyperlink"/>
            <w:noProof/>
          </w:rPr>
          <w:t>RMS delay spread is inversely proportional to LOS probability, i.e., lower LOS probabilities translate to larger RMS delay spreads.</w:t>
        </w:r>
      </w:hyperlink>
    </w:p>
    <w:p w14:paraId="3B1D1547"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3" w:history="1">
        <w:r w:rsidRPr="006A3AFA">
          <w:rPr>
            <w:rStyle w:val="Hyperlink"/>
            <w:noProof/>
          </w:rPr>
          <w:t>Observation 8</w:t>
        </w:r>
        <w:r>
          <w:rPr>
            <w:rFonts w:asciiTheme="minorHAnsi" w:eastAsiaTheme="minorEastAsia" w:hAnsiTheme="minorHAnsi" w:cstheme="minorBidi"/>
            <w:b w:val="0"/>
            <w:noProof/>
            <w:sz w:val="22"/>
            <w:szCs w:val="22"/>
            <w:lang w:eastAsia="en-US"/>
          </w:rPr>
          <w:tab/>
        </w:r>
        <w:r w:rsidRPr="006A3AFA">
          <w:rPr>
            <w:rStyle w:val="Hyperlink"/>
            <w:noProof/>
          </w:rPr>
          <w:t>Outdoor Scenario B has an extremely high LOS probability (~99%) which leads to a very small value of 90</w:t>
        </w:r>
        <w:r w:rsidRPr="006A3AFA">
          <w:rPr>
            <w:rStyle w:val="Hyperlink"/>
            <w:noProof/>
            <w:vertAlign w:val="superscript"/>
          </w:rPr>
          <w:t>th</w:t>
        </w:r>
        <w:r w:rsidRPr="006A3AFA">
          <w:rPr>
            <w:rStyle w:val="Hyperlink"/>
            <w:noProof/>
          </w:rPr>
          <w:t xml:space="preserve"> percentile post-beamforming RMS delay spread (3.7 ns).</w:t>
        </w:r>
      </w:hyperlink>
    </w:p>
    <w:p w14:paraId="65C62659"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4" w:history="1">
        <w:r w:rsidRPr="006A3AFA">
          <w:rPr>
            <w:rStyle w:val="Hyperlink"/>
            <w:noProof/>
          </w:rPr>
          <w:t>Observation 9</w:t>
        </w:r>
        <w:r>
          <w:rPr>
            <w:rFonts w:asciiTheme="minorHAnsi" w:eastAsiaTheme="minorEastAsia" w:hAnsiTheme="minorHAnsi" w:cstheme="minorBidi"/>
            <w:b w:val="0"/>
            <w:noProof/>
            <w:sz w:val="22"/>
            <w:szCs w:val="22"/>
            <w:lang w:eastAsia="en-US"/>
          </w:rPr>
          <w:tab/>
        </w:r>
        <w:r w:rsidRPr="006A3AFA">
          <w:rPr>
            <w:rStyle w:val="Hyperlink"/>
            <w:noProof/>
          </w:rPr>
          <w:t>For selection of suitable SCS for the 52.6 – 71 GHz frequency range, it is important to perform link level evaluations with 90th percentile RMS delay spreads that are representative of a suitable range of deployment scenarios with different site densities, e.g., up to several tens of ns. Sufficient margin must also be left for other sources of time synchronization error.</w:t>
        </w:r>
      </w:hyperlink>
    </w:p>
    <w:p w14:paraId="7DBA1133"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5" w:history="1">
        <w:r w:rsidRPr="006A3AFA">
          <w:rPr>
            <w:rStyle w:val="Hyperlink"/>
            <w:noProof/>
          </w:rPr>
          <w:t>Observation 10</w:t>
        </w:r>
        <w:r>
          <w:rPr>
            <w:rFonts w:asciiTheme="minorHAnsi" w:eastAsiaTheme="minorEastAsia" w:hAnsiTheme="minorHAnsi" w:cstheme="minorBidi"/>
            <w:b w:val="0"/>
            <w:noProof/>
            <w:sz w:val="22"/>
            <w:szCs w:val="22"/>
            <w:lang w:eastAsia="en-US"/>
          </w:rPr>
          <w:tab/>
        </w:r>
        <w:r w:rsidRPr="006A3AFA">
          <w:rPr>
            <w:rStyle w:val="Hyperlink"/>
            <w:noProof/>
          </w:rPr>
          <w:t>From a frequency error perspective, an SSB SCS of either 240 kHz or 480 kHz seems reasonable for a 60 GHz carrier frequency</w:t>
        </w:r>
        <w:r w:rsidRPr="006A3AFA">
          <w:rPr>
            <w:rStyle w:val="Hyperlink"/>
            <w:noProof/>
            <w:lang w:val="en-GB"/>
          </w:rPr>
          <w:t>.</w:t>
        </w:r>
      </w:hyperlink>
    </w:p>
    <w:p w14:paraId="6632CECE"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6" w:history="1">
        <w:r w:rsidRPr="006A3AFA">
          <w:rPr>
            <w:rStyle w:val="Hyperlink"/>
            <w:noProof/>
          </w:rPr>
          <w:t>Observation 11</w:t>
        </w:r>
        <w:r>
          <w:rPr>
            <w:rFonts w:asciiTheme="minorHAnsi" w:eastAsiaTheme="minorEastAsia" w:hAnsiTheme="minorHAnsi" w:cstheme="minorBidi"/>
            <w:b w:val="0"/>
            <w:noProof/>
            <w:sz w:val="22"/>
            <w:szCs w:val="22"/>
            <w:lang w:eastAsia="en-US"/>
          </w:rPr>
          <w:tab/>
        </w:r>
        <w:r w:rsidRPr="006A3AFA">
          <w:rPr>
            <w:rStyle w:val="Hyperlink"/>
            <w:noProof/>
          </w:rPr>
          <w:t>A higher UL SCS puts tighter requirements on UE UL timing accuracy. To avoid further tightening the UE requirement on UL timing error in relation to 1/SCS</w:t>
        </w:r>
        <w:r w:rsidRPr="006A3AFA">
          <w:rPr>
            <w:rStyle w:val="Hyperlink"/>
            <w:noProof/>
            <w:vertAlign w:val="subscript"/>
          </w:rPr>
          <w:t xml:space="preserve">SSB </w:t>
        </w:r>
        <w:r w:rsidRPr="006A3AFA">
          <w:rPr>
            <w:rStyle w:val="Hyperlink"/>
            <w:noProof/>
          </w:rPr>
          <w:t>compared to current specifications, the UL SCS should not be more than twice that of the SSB SCS. This motivates selection of UL SCS to be no greater than 480 kHz assuming the maximum SSB SCS of 240 kHz in the spec today.</w:t>
        </w:r>
      </w:hyperlink>
    </w:p>
    <w:p w14:paraId="4634A9A6"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7" w:history="1">
        <w:r w:rsidRPr="006A3AFA">
          <w:rPr>
            <w:rStyle w:val="Hyperlink"/>
            <w:noProof/>
          </w:rPr>
          <w:t>Observation 12</w:t>
        </w:r>
        <w:r>
          <w:rPr>
            <w:rFonts w:asciiTheme="minorHAnsi" w:eastAsiaTheme="minorEastAsia" w:hAnsiTheme="minorHAnsi" w:cstheme="minorBidi"/>
            <w:b w:val="0"/>
            <w:noProof/>
            <w:sz w:val="22"/>
            <w:szCs w:val="22"/>
            <w:lang w:eastAsia="en-US"/>
          </w:rPr>
          <w:tab/>
        </w:r>
        <w:r w:rsidRPr="006A3AFA">
          <w:rPr>
            <w:rStyle w:val="Hyperlink"/>
            <w:noProof/>
          </w:rPr>
          <w:t>The times provisioned for UE processing grow exponentially with the numerology. Large processing latencies restrict the achievable throughputs, defeating the purpose of enabling large bandwidths with large sub-carrier spacings.</w:t>
        </w:r>
      </w:hyperlink>
    </w:p>
    <w:p w14:paraId="6D5D25F6"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8" w:history="1">
        <w:r w:rsidRPr="006A3AFA">
          <w:rPr>
            <w:rStyle w:val="Hyperlink"/>
            <w:noProof/>
          </w:rPr>
          <w:t>Observation 13</w:t>
        </w:r>
        <w:r>
          <w:rPr>
            <w:rFonts w:asciiTheme="minorHAnsi" w:eastAsiaTheme="minorEastAsia" w:hAnsiTheme="minorHAnsi" w:cstheme="minorBidi"/>
            <w:b w:val="0"/>
            <w:noProof/>
            <w:sz w:val="22"/>
            <w:szCs w:val="22"/>
            <w:lang w:eastAsia="en-US"/>
          </w:rPr>
          <w:tab/>
        </w:r>
        <w:r w:rsidRPr="006A3AFA">
          <w:rPr>
            <w:rStyle w:val="Hyperlink"/>
            <w:noProof/>
          </w:rPr>
          <w:t>Very larger sub-carrier spacing will induce excessive MAC buffering requirements and causes higher UE implementation costs.</w:t>
        </w:r>
      </w:hyperlink>
    </w:p>
    <w:p w14:paraId="29863459"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29" w:history="1">
        <w:r w:rsidRPr="006A3AFA">
          <w:rPr>
            <w:rStyle w:val="Hyperlink"/>
            <w:noProof/>
          </w:rPr>
          <w:t>Observation 14</w:t>
        </w:r>
        <w:r>
          <w:rPr>
            <w:rFonts w:asciiTheme="minorHAnsi" w:eastAsiaTheme="minorEastAsia" w:hAnsiTheme="minorHAnsi" w:cstheme="minorBidi"/>
            <w:b w:val="0"/>
            <w:noProof/>
            <w:sz w:val="22"/>
            <w:szCs w:val="22"/>
            <w:lang w:eastAsia="en-US"/>
          </w:rPr>
          <w:tab/>
        </w:r>
        <w:r w:rsidRPr="006A3AFA">
          <w:rPr>
            <w:rStyle w:val="Hyperlink"/>
            <w:noProof/>
          </w:rPr>
          <w:t>SS/PBCH / CORESET0 multiplexing patterns 2 and 3 are restricted to very small RMSI payloads due to the small number (2) of available OFDM symbols for RMSI PDSCH.</w:t>
        </w:r>
      </w:hyperlink>
    </w:p>
    <w:p w14:paraId="1C92F60D"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0" w:history="1">
        <w:r w:rsidRPr="006A3AFA">
          <w:rPr>
            <w:rStyle w:val="Hyperlink"/>
            <w:noProof/>
          </w:rPr>
          <w:t>Observation 15</w:t>
        </w:r>
        <w:r>
          <w:rPr>
            <w:rFonts w:asciiTheme="minorHAnsi" w:eastAsiaTheme="minorEastAsia" w:hAnsiTheme="minorHAnsi" w:cstheme="minorBidi"/>
            <w:b w:val="0"/>
            <w:noProof/>
            <w:sz w:val="22"/>
            <w:szCs w:val="22"/>
            <w:lang w:eastAsia="en-US"/>
          </w:rPr>
          <w:tab/>
        </w:r>
        <w:r w:rsidRPr="006A3AFA">
          <w:rPr>
            <w:rStyle w:val="Hyperlink"/>
            <w:noProof/>
          </w:rPr>
          <w:t>SS/PBCH / CORESET0 multiplexing pattern 1, especially with non-zero offset O for the Type0-PDCCH monitoring occasions, is much less restrictive in terms of allowable RMSI payload due to the fact that SS/PBCH and RMSI PDCCH/PDSCH are time division multiplexed.</w:t>
        </w:r>
      </w:hyperlink>
    </w:p>
    <w:p w14:paraId="4CF621A5"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1" w:history="1">
        <w:r w:rsidRPr="006A3AFA">
          <w:rPr>
            <w:rStyle w:val="Hyperlink"/>
            <w:noProof/>
          </w:rPr>
          <w:t>Observation 16</w:t>
        </w:r>
        <w:r>
          <w:rPr>
            <w:rFonts w:asciiTheme="minorHAnsi" w:eastAsiaTheme="minorEastAsia" w:hAnsiTheme="minorHAnsi" w:cstheme="minorBidi"/>
            <w:b w:val="0"/>
            <w:noProof/>
            <w:sz w:val="22"/>
            <w:szCs w:val="22"/>
            <w:lang w:eastAsia="en-US"/>
          </w:rPr>
          <w:tab/>
        </w:r>
        <w:r w:rsidRPr="006A3AFA">
          <w:rPr>
            <w:rStyle w:val="Hyperlink"/>
            <w:noProof/>
          </w:rPr>
          <w:t>PRB-based interlacing is not beneficial for SCS ≥ 120 kHz</w:t>
        </w:r>
      </w:hyperlink>
    </w:p>
    <w:p w14:paraId="19759760"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2" w:history="1">
        <w:r w:rsidRPr="006A3AFA">
          <w:rPr>
            <w:rStyle w:val="Hyperlink"/>
            <w:noProof/>
          </w:rPr>
          <w:t>Observation 17</w:t>
        </w:r>
        <w:r>
          <w:rPr>
            <w:rFonts w:asciiTheme="minorHAnsi" w:eastAsiaTheme="minorEastAsia" w:hAnsiTheme="minorHAnsi" w:cstheme="minorBidi"/>
            <w:b w:val="0"/>
            <w:noProof/>
            <w:sz w:val="22"/>
            <w:szCs w:val="22"/>
            <w:lang w:eastAsia="en-US"/>
          </w:rPr>
          <w:tab/>
        </w:r>
        <w:r w:rsidRPr="006A3AFA">
          <w:rPr>
            <w:rStyle w:val="Hyperlink"/>
            <w:noProof/>
          </w:rPr>
          <w:t>Sub-PRB interlacing is not beneficial for SCS ≥ 960 kHz</w:t>
        </w:r>
      </w:hyperlink>
    </w:p>
    <w:p w14:paraId="4F3D0EF2"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3" w:history="1">
        <w:r w:rsidRPr="006A3AFA">
          <w:rPr>
            <w:rStyle w:val="Hyperlink"/>
            <w:noProof/>
          </w:rPr>
          <w:t>Observation 18</w:t>
        </w:r>
        <w:r>
          <w:rPr>
            <w:rFonts w:asciiTheme="minorHAnsi" w:eastAsiaTheme="minorEastAsia" w:hAnsiTheme="minorHAnsi" w:cstheme="minorBidi"/>
            <w:b w:val="0"/>
            <w:noProof/>
            <w:sz w:val="22"/>
            <w:szCs w:val="22"/>
            <w:lang w:eastAsia="en-US"/>
          </w:rPr>
          <w:tab/>
        </w:r>
        <w:r w:rsidRPr="006A3AFA">
          <w:rPr>
            <w:rStyle w:val="Hyperlink"/>
            <w:noProof/>
          </w:rPr>
          <w:t>Both PRB and sub-PRB interlacing is not beneficial for large frequency allocations</w:t>
        </w:r>
      </w:hyperlink>
    </w:p>
    <w:p w14:paraId="74734848"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4" w:history="1">
        <w:r w:rsidRPr="006A3AFA">
          <w:rPr>
            <w:rStyle w:val="Hyperlink"/>
            <w:noProof/>
          </w:rPr>
          <w:t>Observation 19</w:t>
        </w:r>
        <w:r>
          <w:rPr>
            <w:rFonts w:asciiTheme="minorHAnsi" w:eastAsiaTheme="minorEastAsia" w:hAnsiTheme="minorHAnsi" w:cstheme="minorBidi"/>
            <w:b w:val="0"/>
            <w:noProof/>
            <w:sz w:val="22"/>
            <w:szCs w:val="22"/>
            <w:lang w:eastAsia="en-US"/>
          </w:rPr>
          <w:tab/>
        </w:r>
        <w:r w:rsidRPr="006A3AFA">
          <w:rPr>
            <w:rStyle w:val="Hyperlink"/>
            <w:noProof/>
            <w:lang w:val="en-GB"/>
          </w:rPr>
          <w:t>To fulfil the OCB requirement specified in EN 302 567, for each of the declared channel bandwidths, the device has to support at least one mode of transmission where the transmission occupies at least 70% of the declared channel bandwidth.</w:t>
        </w:r>
      </w:hyperlink>
    </w:p>
    <w:p w14:paraId="05A8E15B"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5" w:history="1">
        <w:r w:rsidRPr="006A3AFA">
          <w:rPr>
            <w:rStyle w:val="Hyperlink"/>
            <w:noProof/>
            <w:lang w:val="en-GB"/>
          </w:rPr>
          <w:t>Observation 20</w:t>
        </w:r>
        <w:r>
          <w:rPr>
            <w:rFonts w:asciiTheme="minorHAnsi" w:eastAsiaTheme="minorEastAsia" w:hAnsiTheme="minorHAnsi" w:cstheme="minorBidi"/>
            <w:b w:val="0"/>
            <w:noProof/>
            <w:sz w:val="22"/>
            <w:szCs w:val="22"/>
            <w:lang w:eastAsia="en-US"/>
          </w:rPr>
          <w:tab/>
        </w:r>
        <w:r w:rsidRPr="006A3AFA">
          <w:rPr>
            <w:rStyle w:val="Hyperlink"/>
            <w:noProof/>
            <w:lang w:val="en-GB"/>
          </w:rPr>
          <w:t xml:space="preserve">Existing NR design </w:t>
        </w:r>
        <w:r w:rsidRPr="006A3AFA">
          <w:rPr>
            <w:rStyle w:val="Hyperlink"/>
            <w:noProof/>
          </w:rPr>
          <w:t xml:space="preserve">fulfills the </w:t>
        </w:r>
        <w:r w:rsidRPr="006A3AFA">
          <w:rPr>
            <w:rStyle w:val="Hyperlink"/>
            <w:noProof/>
            <w:lang w:val="en-GB"/>
          </w:rPr>
          <w:t xml:space="preserve">EN 302 567 </w:t>
        </w:r>
        <w:r w:rsidRPr="006A3AFA">
          <w:rPr>
            <w:rStyle w:val="Hyperlink"/>
            <w:noProof/>
          </w:rPr>
          <w:t>OCB requirement</w:t>
        </w:r>
      </w:hyperlink>
    </w:p>
    <w:p w14:paraId="3ADA0274"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6" w:history="1">
        <w:r w:rsidRPr="006A3AFA">
          <w:rPr>
            <w:rStyle w:val="Hyperlink"/>
            <w:noProof/>
            <w:lang w:val="en-GB"/>
          </w:rPr>
          <w:t>Observation 21</w:t>
        </w:r>
        <w:r>
          <w:rPr>
            <w:rFonts w:asciiTheme="minorHAnsi" w:eastAsiaTheme="minorEastAsia" w:hAnsiTheme="minorHAnsi" w:cstheme="minorBidi"/>
            <w:b w:val="0"/>
            <w:noProof/>
            <w:sz w:val="22"/>
            <w:szCs w:val="22"/>
            <w:lang w:eastAsia="en-US"/>
          </w:rPr>
          <w:tab/>
        </w:r>
        <w:r w:rsidRPr="006A3AFA">
          <w:rPr>
            <w:rStyle w:val="Hyperlink"/>
            <w:noProof/>
            <w:lang w:val="en-GB"/>
          </w:rPr>
          <w:t xml:space="preserve">Because of larger processing latencies, </w:t>
        </w:r>
        <w:r w:rsidRPr="006A3AFA">
          <w:rPr>
            <w:rStyle w:val="Hyperlink"/>
            <w:noProof/>
          </w:rPr>
          <w:t xml:space="preserve">the numbers of DL and UL HARQ processes may need to be increased. Otherwise, physical layer specification and </w:t>
        </w:r>
        <w:r w:rsidRPr="006A3AFA">
          <w:rPr>
            <w:rStyle w:val="Hyperlink"/>
            <w:noProof/>
          </w:rPr>
          <w:lastRenderedPageBreak/>
          <w:t>implementation changes compared to Rel-15 may be needed to sustain high data throughput.</w:t>
        </w:r>
      </w:hyperlink>
    </w:p>
    <w:p w14:paraId="6494FB32" w14:textId="589CDDED" w:rsidR="00952281" w:rsidRDefault="003C5C90" w:rsidP="003C5C90">
      <w:pPr>
        <w:pStyle w:val="BodyText"/>
      </w:pPr>
      <w:r>
        <w:rPr>
          <w:b/>
          <w:bCs/>
        </w:rPr>
        <w:fldChar w:fldCharType="end"/>
      </w:r>
    </w:p>
    <w:p w14:paraId="2AEA934E" w14:textId="5708E475" w:rsidR="003C5C90" w:rsidRDefault="004E76D1" w:rsidP="008A2C71">
      <w:pPr>
        <w:pStyle w:val="BodyText"/>
      </w:pPr>
      <w:r>
        <w:t>Based on the extensive analysis and observations provide in this contribution, we propose</w:t>
      </w:r>
    </w:p>
    <w:p w14:paraId="0E58D218" w14:textId="77777777" w:rsidR="00CF206F" w:rsidRDefault="00A47FE3">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\n \h \z \t "Proposal" \c </w:instrText>
      </w:r>
      <w:r>
        <w:rPr>
          <w:b w:val="0"/>
          <w:bCs/>
        </w:rPr>
        <w:fldChar w:fldCharType="separate"/>
      </w:r>
      <w:hyperlink w:anchor="_Toc47712037" w:history="1">
        <w:r w:rsidR="00CF206F" w:rsidRPr="00A24EB2">
          <w:rPr>
            <w:rStyle w:val="Hyperlink"/>
            <w:noProof/>
          </w:rPr>
          <w:t>Proposal 1</w:t>
        </w:r>
        <w:r w:rsidR="00CF206F">
          <w:rPr>
            <w:rFonts w:asciiTheme="minorHAnsi" w:eastAsiaTheme="minorEastAsia" w:hAnsiTheme="minorHAnsi" w:cstheme="minorBidi"/>
            <w:b w:val="0"/>
            <w:noProof/>
            <w:sz w:val="22"/>
            <w:szCs w:val="22"/>
            <w:lang w:eastAsia="en-US"/>
          </w:rPr>
          <w:tab/>
        </w:r>
        <w:r w:rsidR="00CF206F" w:rsidRPr="00A24EB2">
          <w:rPr>
            <w:rStyle w:val="Hyperlink"/>
            <w:noProof/>
          </w:rPr>
          <w:t>Consider channel bandwidths up to 1.6 GHz for NR operation in 52.6 to 71 GHz.</w:t>
        </w:r>
      </w:hyperlink>
    </w:p>
    <w:p w14:paraId="00808F61"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8" w:history="1">
        <w:r w:rsidRPr="00A24EB2">
          <w:rPr>
            <w:rStyle w:val="Hyperlink"/>
            <w:noProof/>
          </w:rPr>
          <w:t>Proposal 2</w:t>
        </w:r>
        <w:r>
          <w:rPr>
            <w:rFonts w:asciiTheme="minorHAnsi" w:eastAsiaTheme="minorEastAsia" w:hAnsiTheme="minorHAnsi" w:cstheme="minorBidi"/>
            <w:b w:val="0"/>
            <w:noProof/>
            <w:sz w:val="22"/>
            <w:szCs w:val="22"/>
            <w:lang w:eastAsia="en-US"/>
          </w:rPr>
          <w:tab/>
        </w:r>
        <w:r w:rsidRPr="00A24EB2">
          <w:rPr>
            <w:rStyle w:val="Hyperlink"/>
            <w:noProof/>
          </w:rPr>
          <w:t>Consider sub-carrier spacings up to 480 kHz for NR operation in 52.6 to 71 GHz.</w:t>
        </w:r>
      </w:hyperlink>
    </w:p>
    <w:p w14:paraId="5F09399A"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39" w:history="1">
        <w:r w:rsidRPr="00A24EB2">
          <w:rPr>
            <w:rStyle w:val="Hyperlink"/>
            <w:noProof/>
          </w:rPr>
          <w:t>Proposal 3</w:t>
        </w:r>
        <w:r>
          <w:rPr>
            <w:rFonts w:asciiTheme="minorHAnsi" w:eastAsiaTheme="minorEastAsia" w:hAnsiTheme="minorHAnsi" w:cstheme="minorBidi"/>
            <w:b w:val="0"/>
            <w:noProof/>
            <w:sz w:val="22"/>
            <w:szCs w:val="22"/>
            <w:lang w:eastAsia="en-US"/>
          </w:rPr>
          <w:tab/>
        </w:r>
        <w:r w:rsidRPr="00A24EB2">
          <w:rPr>
            <w:rStyle w:val="Hyperlink"/>
            <w:noProof/>
          </w:rPr>
          <w:t>Extended CP need not be considered for NR operation in 52.6 to 71 GHz.</w:t>
        </w:r>
      </w:hyperlink>
    </w:p>
    <w:p w14:paraId="7FF3C014"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0" w:history="1">
        <w:r w:rsidRPr="00A24EB2">
          <w:rPr>
            <w:rStyle w:val="Hyperlink"/>
            <w:noProof/>
          </w:rPr>
          <w:t>Proposal 4</w:t>
        </w:r>
        <w:r>
          <w:rPr>
            <w:rFonts w:asciiTheme="minorHAnsi" w:eastAsiaTheme="minorEastAsia" w:hAnsiTheme="minorHAnsi" w:cstheme="minorBidi"/>
            <w:b w:val="0"/>
            <w:noProof/>
            <w:sz w:val="22"/>
            <w:szCs w:val="22"/>
            <w:lang w:eastAsia="en-US"/>
          </w:rPr>
          <w:tab/>
        </w:r>
        <w:r w:rsidRPr="00A24EB2">
          <w:rPr>
            <w:rStyle w:val="Hyperlink"/>
            <w:noProof/>
          </w:rPr>
          <w:t>UE processing timelines for SCS &gt; 120 kHz need to be further tightened vis-à-vis those for 120 kHz SCS to enable high performance NR operation in 52.6 to 71 GHz.</w:t>
        </w:r>
      </w:hyperlink>
    </w:p>
    <w:p w14:paraId="451CC397"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1" w:history="1">
        <w:r w:rsidRPr="00A24EB2">
          <w:rPr>
            <w:rStyle w:val="Hyperlink"/>
            <w:noProof/>
          </w:rPr>
          <w:t>Proposal 5</w:t>
        </w:r>
        <w:r>
          <w:rPr>
            <w:rFonts w:asciiTheme="minorHAnsi" w:eastAsiaTheme="minorEastAsia" w:hAnsiTheme="minorHAnsi" w:cstheme="minorBidi"/>
            <w:b w:val="0"/>
            <w:noProof/>
            <w:sz w:val="22"/>
            <w:szCs w:val="22"/>
            <w:lang w:eastAsia="en-US"/>
          </w:rPr>
          <w:tab/>
        </w:r>
        <w:r w:rsidRPr="00A24EB2">
          <w:rPr>
            <w:rStyle w:val="Hyperlink"/>
            <w:noProof/>
          </w:rPr>
          <w:t xml:space="preserve">The expected increases in processing latencies and decreases in processing capabilities associated with large SCS are important factors that should be an integral part of selecting the suitable SCS for NR operations in the 52.6 – 71 GHz frequency range already during the SI phase and cannot be deferred until the WI phase. Clearly, such issues put pressure to define SCS(s) as low as possible preferably leveraging existing SCS(s) in the current spec, i.e., </w:t>
        </w:r>
        <w:r w:rsidRPr="00A24EB2">
          <w:rPr>
            <w:rStyle w:val="Hyperlink"/>
            <w:rFonts w:ascii="Cambria Math" w:hAnsi="Cambria Math"/>
            <w:noProof/>
          </w:rPr>
          <w:t>≤</w:t>
        </w:r>
        <w:r w:rsidRPr="00A24EB2">
          <w:rPr>
            <w:rStyle w:val="Hyperlink"/>
            <w:noProof/>
          </w:rPr>
          <w:t>480 kHz.</w:t>
        </w:r>
      </w:hyperlink>
    </w:p>
    <w:p w14:paraId="7B88494D"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2" w:history="1">
        <w:r w:rsidRPr="00A24EB2">
          <w:rPr>
            <w:rStyle w:val="Hyperlink"/>
            <w:noProof/>
          </w:rPr>
          <w:t>Proposal 6</w:t>
        </w:r>
        <w:r>
          <w:rPr>
            <w:rFonts w:asciiTheme="minorHAnsi" w:eastAsiaTheme="minorEastAsia" w:hAnsiTheme="minorHAnsi" w:cstheme="minorBidi"/>
            <w:b w:val="0"/>
            <w:noProof/>
            <w:sz w:val="22"/>
            <w:szCs w:val="22"/>
            <w:lang w:eastAsia="en-US"/>
          </w:rPr>
          <w:tab/>
        </w:r>
        <w:r w:rsidRPr="00A24EB2">
          <w:rPr>
            <w:rStyle w:val="Hyperlink"/>
            <w:noProof/>
          </w:rPr>
          <w:t>Do not design for SS/PBCH block sliding within a transmission window for &gt;52.6 GHz operation.</w:t>
        </w:r>
      </w:hyperlink>
    </w:p>
    <w:p w14:paraId="3670F9D2"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3" w:history="1">
        <w:r w:rsidRPr="00A24EB2">
          <w:rPr>
            <w:rStyle w:val="Hyperlink"/>
            <w:noProof/>
          </w:rPr>
          <w:t>Proposal 7</w:t>
        </w:r>
        <w:r>
          <w:rPr>
            <w:rFonts w:asciiTheme="minorHAnsi" w:eastAsiaTheme="minorEastAsia" w:hAnsiTheme="minorHAnsi" w:cstheme="minorBidi"/>
            <w:b w:val="0"/>
            <w:noProof/>
            <w:sz w:val="22"/>
            <w:szCs w:val="22"/>
            <w:lang w:eastAsia="en-US"/>
          </w:rPr>
          <w:tab/>
        </w:r>
        <w:r w:rsidRPr="00A24EB2">
          <w:rPr>
            <w:rStyle w:val="Hyperlink"/>
            <w:noProof/>
          </w:rPr>
          <w:t>For NR operations in the 52.6 – 71 GHz band, consider only 120 and 240 kHz SCS for SS/PBCH blocks, as already supported in Rel-15/16.</w:t>
        </w:r>
      </w:hyperlink>
    </w:p>
    <w:p w14:paraId="272CC807"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4" w:history="1">
        <w:r w:rsidRPr="00A24EB2">
          <w:rPr>
            <w:rStyle w:val="Hyperlink"/>
            <w:noProof/>
          </w:rPr>
          <w:t>Proposal 8</w:t>
        </w:r>
        <w:r>
          <w:rPr>
            <w:rFonts w:asciiTheme="minorHAnsi" w:eastAsiaTheme="minorEastAsia" w:hAnsiTheme="minorHAnsi" w:cstheme="minorBidi"/>
            <w:b w:val="0"/>
            <w:noProof/>
            <w:sz w:val="22"/>
            <w:szCs w:val="22"/>
            <w:lang w:eastAsia="en-US"/>
          </w:rPr>
          <w:tab/>
        </w:r>
        <w:r w:rsidRPr="00A24EB2">
          <w:rPr>
            <w:rStyle w:val="Hyperlink"/>
            <w:noProof/>
          </w:rPr>
          <w:t>Consider reusing the SS/PBCH / CORSET0 multiplexing patterns as much as possible. If minor, targeted, enhancements to particular pattern(s) are beneficial, these can be considered.</w:t>
        </w:r>
      </w:hyperlink>
    </w:p>
    <w:p w14:paraId="7C028D1B"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5" w:history="1">
        <w:r w:rsidRPr="00A24EB2">
          <w:rPr>
            <w:rStyle w:val="Hyperlink"/>
            <w:noProof/>
          </w:rPr>
          <w:t>Proposal 9</w:t>
        </w:r>
        <w:r>
          <w:rPr>
            <w:rFonts w:asciiTheme="minorHAnsi" w:eastAsiaTheme="minorEastAsia" w:hAnsiTheme="minorHAnsi" w:cstheme="minorBidi"/>
            <w:b w:val="0"/>
            <w:noProof/>
            <w:sz w:val="22"/>
            <w:szCs w:val="22"/>
            <w:lang w:eastAsia="en-US"/>
          </w:rPr>
          <w:tab/>
        </w:r>
        <w:r w:rsidRPr="00A24EB2">
          <w:rPr>
            <w:rStyle w:val="Hyperlink"/>
            <w:noProof/>
          </w:rPr>
          <w:t>Consider enhancements to SS/PBCH / CORESET0 multiplexing Pattern 1 as follows: (1) Allow (240 kHz, 240 kHz) SCS, and (2) Support 6 symbol SLIV in Default Table A starting at OFDM symbols 2 and 8.</w:t>
        </w:r>
      </w:hyperlink>
    </w:p>
    <w:p w14:paraId="08EC397A"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6" w:history="1">
        <w:r w:rsidRPr="00A24EB2">
          <w:rPr>
            <w:rStyle w:val="Hyperlink"/>
            <w:noProof/>
          </w:rPr>
          <w:t>Proposal 10</w:t>
        </w:r>
        <w:r>
          <w:rPr>
            <w:rFonts w:asciiTheme="minorHAnsi" w:eastAsiaTheme="minorEastAsia" w:hAnsiTheme="minorHAnsi" w:cstheme="minorBidi"/>
            <w:b w:val="0"/>
            <w:noProof/>
            <w:sz w:val="22"/>
            <w:szCs w:val="22"/>
            <w:lang w:eastAsia="en-US"/>
          </w:rPr>
          <w:tab/>
        </w:r>
        <w:r w:rsidRPr="00A24EB2">
          <w:rPr>
            <w:rStyle w:val="Hyperlink"/>
            <w:noProof/>
          </w:rPr>
          <w:t>The support of UL interlace allocation is not considered for operation in &gt;52.6 GHz spectrum.</w:t>
        </w:r>
      </w:hyperlink>
    </w:p>
    <w:p w14:paraId="6965A9C0"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7" w:history="1">
        <w:r w:rsidRPr="00A24EB2">
          <w:rPr>
            <w:rStyle w:val="Hyperlink"/>
            <w:noProof/>
          </w:rPr>
          <w:t>Proposal 11</w:t>
        </w:r>
        <w:r>
          <w:rPr>
            <w:rFonts w:asciiTheme="minorHAnsi" w:eastAsiaTheme="minorEastAsia" w:hAnsiTheme="minorHAnsi" w:cstheme="minorBidi"/>
            <w:b w:val="0"/>
            <w:noProof/>
            <w:sz w:val="22"/>
            <w:szCs w:val="22"/>
            <w:lang w:eastAsia="en-US"/>
          </w:rPr>
          <w:tab/>
        </w:r>
        <w:r w:rsidRPr="00A24EB2">
          <w:rPr>
            <w:rStyle w:val="Hyperlink"/>
            <w:noProof/>
          </w:rPr>
          <w:t>PUCCH format 0/1/4 enhancements to compensate for the limited transmit power should be studied.</w:t>
        </w:r>
      </w:hyperlink>
    </w:p>
    <w:p w14:paraId="7C2E1FEF"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8" w:history="1">
        <w:r w:rsidRPr="00A24EB2">
          <w:rPr>
            <w:rStyle w:val="Hyperlink"/>
            <w:noProof/>
          </w:rPr>
          <w:t>Proposal 12</w:t>
        </w:r>
        <w:r>
          <w:rPr>
            <w:rFonts w:asciiTheme="minorHAnsi" w:eastAsiaTheme="minorEastAsia" w:hAnsiTheme="minorHAnsi" w:cstheme="minorBidi"/>
            <w:b w:val="0"/>
            <w:noProof/>
            <w:sz w:val="22"/>
            <w:szCs w:val="22"/>
            <w:lang w:eastAsia="en-US"/>
          </w:rPr>
          <w:tab/>
        </w:r>
        <w:r w:rsidRPr="00A24EB2">
          <w:rPr>
            <w:rStyle w:val="Hyperlink"/>
            <w:noProof/>
          </w:rPr>
          <w:t>Consider enhancements to SR (PUCCH) resource configuration and spatial relation management to reduce UL data latency</w:t>
        </w:r>
      </w:hyperlink>
    </w:p>
    <w:p w14:paraId="108C1754"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49" w:history="1">
        <w:r w:rsidRPr="00A24EB2">
          <w:rPr>
            <w:rStyle w:val="Hyperlink"/>
            <w:noProof/>
          </w:rPr>
          <w:t>Proposal 13</w:t>
        </w:r>
        <w:r>
          <w:rPr>
            <w:rFonts w:asciiTheme="minorHAnsi" w:eastAsiaTheme="minorEastAsia" w:hAnsiTheme="minorHAnsi" w:cstheme="minorBidi"/>
            <w:b w:val="0"/>
            <w:noProof/>
            <w:sz w:val="22"/>
            <w:szCs w:val="22"/>
            <w:lang w:eastAsia="en-US"/>
          </w:rPr>
          <w:tab/>
        </w:r>
        <w:r w:rsidRPr="00A24EB2">
          <w:rPr>
            <w:rStyle w:val="Hyperlink"/>
            <w:noProof/>
          </w:rPr>
          <w:t>Consider a gNB initiated polling approach for UL traffic management to reduce UL data latency.</w:t>
        </w:r>
      </w:hyperlink>
    </w:p>
    <w:p w14:paraId="69679C99"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50" w:history="1">
        <w:r w:rsidRPr="00A24EB2">
          <w:rPr>
            <w:rStyle w:val="Hyperlink"/>
            <w:noProof/>
          </w:rPr>
          <w:t>Proposal 14</w:t>
        </w:r>
        <w:r>
          <w:rPr>
            <w:rFonts w:asciiTheme="minorHAnsi" w:eastAsiaTheme="minorEastAsia" w:hAnsiTheme="minorHAnsi" w:cstheme="minorBidi"/>
            <w:b w:val="0"/>
            <w:noProof/>
            <w:sz w:val="22"/>
            <w:szCs w:val="22"/>
            <w:lang w:eastAsia="en-US"/>
          </w:rPr>
          <w:tab/>
        </w:r>
        <w:r w:rsidRPr="00A24EB2">
          <w:rPr>
            <w:rStyle w:val="Hyperlink"/>
            <w:noProof/>
          </w:rPr>
          <w:t>RAN1 should investigate the different factors that contribute to the PDSCH processing time and consider possible latency reduction opportunities.</w:t>
        </w:r>
      </w:hyperlink>
    </w:p>
    <w:p w14:paraId="46EF846E"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51" w:history="1">
        <w:r w:rsidRPr="00A24EB2">
          <w:rPr>
            <w:rStyle w:val="Hyperlink"/>
            <w:noProof/>
          </w:rPr>
          <w:t>Proposal 15</w:t>
        </w:r>
        <w:r>
          <w:rPr>
            <w:rFonts w:asciiTheme="minorHAnsi" w:eastAsiaTheme="minorEastAsia" w:hAnsiTheme="minorHAnsi" w:cstheme="minorBidi"/>
            <w:b w:val="0"/>
            <w:noProof/>
            <w:sz w:val="22"/>
            <w:szCs w:val="22"/>
            <w:lang w:eastAsia="en-US"/>
          </w:rPr>
          <w:tab/>
        </w:r>
        <w:r w:rsidRPr="00A24EB2">
          <w:rPr>
            <w:rStyle w:val="Hyperlink"/>
            <w:noProof/>
          </w:rPr>
          <w:t>Consider support of scheduling multiple PDSCH using one DCI for NR operation in 52.6 to 71 GHz.</w:t>
        </w:r>
      </w:hyperlink>
    </w:p>
    <w:p w14:paraId="6DB84A8C" w14:textId="77777777" w:rsidR="00CF206F" w:rsidRDefault="00CF206F">
      <w:pPr>
        <w:pStyle w:val="TableofFigures"/>
        <w:tabs>
          <w:tab w:val="right" w:leader="dot" w:pos="9629"/>
        </w:tabs>
        <w:rPr>
          <w:rFonts w:asciiTheme="minorHAnsi" w:eastAsiaTheme="minorEastAsia" w:hAnsiTheme="minorHAnsi" w:cstheme="minorBidi"/>
          <w:b w:val="0"/>
          <w:noProof/>
          <w:sz w:val="22"/>
          <w:szCs w:val="22"/>
          <w:lang w:eastAsia="en-US"/>
        </w:rPr>
      </w:pPr>
      <w:hyperlink w:anchor="_Toc47712052" w:history="1">
        <w:r w:rsidRPr="00A24EB2">
          <w:rPr>
            <w:rStyle w:val="Hyperlink"/>
            <w:noProof/>
          </w:rPr>
          <w:t>Proposal 16</w:t>
        </w:r>
        <w:r>
          <w:rPr>
            <w:rFonts w:asciiTheme="minorHAnsi" w:eastAsiaTheme="minorEastAsia" w:hAnsiTheme="minorHAnsi" w:cstheme="minorBidi"/>
            <w:b w:val="0"/>
            <w:noProof/>
            <w:sz w:val="22"/>
            <w:szCs w:val="22"/>
            <w:lang w:eastAsia="en-US"/>
          </w:rPr>
          <w:tab/>
        </w:r>
        <w:r w:rsidRPr="00A24EB2">
          <w:rPr>
            <w:rStyle w:val="Hyperlink"/>
            <w:noProof/>
          </w:rPr>
          <w:t>For 60GHz operation, reduce the FDRA fields size by supporting larger RBG sizes.</w:t>
        </w:r>
      </w:hyperlink>
    </w:p>
    <w:p w14:paraId="6F3910C6" w14:textId="5210CDDA" w:rsidR="00952281" w:rsidRDefault="00A47FE3" w:rsidP="008A2C71">
      <w:pPr>
        <w:pStyle w:val="BodyText"/>
      </w:pPr>
      <w:r>
        <w:rPr>
          <w:b/>
          <w:bCs/>
        </w:rPr>
        <w:fldChar w:fldCharType="end"/>
      </w:r>
    </w:p>
    <w:p w14:paraId="0832381A" w14:textId="426C06FF" w:rsidR="008A2C71" w:rsidRPr="00CE0424" w:rsidRDefault="00C31E07" w:rsidP="008A2C71">
      <w:pPr>
        <w:pStyle w:val="Heading1"/>
      </w:pPr>
      <w:bookmarkStart w:id="600" w:name="_In-sequence_SDU_delivery"/>
      <w:bookmarkStart w:id="601" w:name="_Toc46307407"/>
      <w:bookmarkStart w:id="602" w:name="_Toc47530185"/>
      <w:bookmarkEnd w:id="600"/>
      <w:r>
        <w:t>6</w:t>
      </w:r>
      <w:r>
        <w:tab/>
      </w:r>
      <w:r w:rsidR="008A2C71" w:rsidRPr="00CE0424">
        <w:t>References</w:t>
      </w:r>
      <w:bookmarkEnd w:id="601"/>
      <w:bookmarkEnd w:id="602"/>
    </w:p>
    <w:p w14:paraId="2F65783D" w14:textId="77777777" w:rsidR="008A2C71" w:rsidRPr="00EA0A41" w:rsidRDefault="008A2C71" w:rsidP="008A2C71">
      <w:pPr>
        <w:pStyle w:val="Reference"/>
      </w:pPr>
      <w:bookmarkStart w:id="603" w:name="_Ref37858016"/>
      <w:bookmarkStart w:id="604" w:name="_Ref37859208"/>
      <w:bookmarkStart w:id="605" w:name="_Ref174151459"/>
      <w:bookmarkStart w:id="606" w:name="_Ref189809556"/>
      <w:r w:rsidRPr="00EA0A41">
        <w:t>RP-193259, New SID: Study on supporting NR from 52.6GHz to 71 GHz</w:t>
      </w:r>
      <w:bookmarkEnd w:id="603"/>
      <w:bookmarkEnd w:id="604"/>
    </w:p>
    <w:p w14:paraId="62C28729" w14:textId="6AEDEB4E" w:rsidR="008A2C71" w:rsidRDefault="008A2C71" w:rsidP="008A2C71">
      <w:pPr>
        <w:pStyle w:val="Reference"/>
      </w:pPr>
      <w:bookmarkStart w:id="607" w:name="_Ref37858025"/>
      <w:r w:rsidRPr="00EA0A41">
        <w:t>RP-193229, New WID on Extending current NR operation to 71 GHz</w:t>
      </w:r>
      <w:bookmarkEnd w:id="607"/>
    </w:p>
    <w:p w14:paraId="4468FD2E" w14:textId="75440B60" w:rsidR="005152A9" w:rsidRDefault="005152A9" w:rsidP="008A2C71">
      <w:pPr>
        <w:pStyle w:val="Reference"/>
      </w:pPr>
      <w:bookmarkStart w:id="608" w:name="_Ref46231781"/>
      <w:bookmarkStart w:id="609" w:name="_Ref46490548"/>
      <w:r w:rsidRPr="00F94015">
        <w:t>R1-</w:t>
      </w:r>
      <w:r w:rsidR="000913A6" w:rsidRPr="00F94015">
        <w:t>200</w:t>
      </w:r>
      <w:r w:rsidR="000913A6" w:rsidRPr="00B710E9">
        <w:t>5921</w:t>
      </w:r>
      <w:r>
        <w:t xml:space="preserve">, </w:t>
      </w:r>
      <w:r w:rsidR="00F96238">
        <w:t>Channel access mechanism</w:t>
      </w:r>
      <w:bookmarkEnd w:id="608"/>
      <w:r w:rsidR="00413500">
        <w:t>, Ericsson</w:t>
      </w:r>
      <w:bookmarkEnd w:id="609"/>
    </w:p>
    <w:p w14:paraId="65F5BCD0" w14:textId="450B1362" w:rsidR="008C378A" w:rsidRDefault="008C378A" w:rsidP="008A2C71">
      <w:pPr>
        <w:pStyle w:val="Reference"/>
      </w:pPr>
      <w:bookmarkStart w:id="610" w:name="_Ref46234418"/>
      <w:r w:rsidRPr="008C378A">
        <w:t>R1-2004247</w:t>
      </w:r>
      <w:r>
        <w:t xml:space="preserve">, </w:t>
      </w:r>
      <w:r w:rsidR="00413500" w:rsidRPr="00413500">
        <w:t>On Required changes to NR using existing DL/UL NR Waveform</w:t>
      </w:r>
      <w:r w:rsidR="00413500">
        <w:t>, Apple</w:t>
      </w:r>
      <w:bookmarkEnd w:id="610"/>
    </w:p>
    <w:p w14:paraId="5786C931" w14:textId="4E754574" w:rsidR="009004A0" w:rsidRDefault="006F7884" w:rsidP="007D6819">
      <w:pPr>
        <w:pStyle w:val="Reference"/>
      </w:pPr>
      <w:bookmarkStart w:id="611" w:name="_Ref47085970"/>
      <w:r>
        <w:t>D</w:t>
      </w:r>
      <w:r w:rsidR="003A3CF5">
        <w:t>.</w:t>
      </w:r>
      <w:r>
        <w:t xml:space="preserve"> </w:t>
      </w:r>
      <w:r w:rsidR="0094575D" w:rsidRPr="0094575D">
        <w:t xml:space="preserve">Petrovic, </w:t>
      </w:r>
      <w:r w:rsidR="0094575D">
        <w:t>W</w:t>
      </w:r>
      <w:r w:rsidR="003A3CF5">
        <w:t>.</w:t>
      </w:r>
      <w:r w:rsidR="0094575D">
        <w:t xml:space="preserve"> Rave</w:t>
      </w:r>
      <w:r w:rsidR="003A3CF5">
        <w:t xml:space="preserve"> and</w:t>
      </w:r>
      <w:r w:rsidR="0094575D">
        <w:t xml:space="preserve"> G. Fett</w:t>
      </w:r>
      <w:r w:rsidR="003A3CF5">
        <w:t xml:space="preserve">weis, </w:t>
      </w:r>
      <w:r>
        <w:t>“Effects of Phase Noise on OFDM Systems With and Without PLL: Characterization and Compensation</w:t>
      </w:r>
      <w:r w:rsidR="003A3CF5">
        <w:t>,</w:t>
      </w:r>
      <w:r>
        <w:t>”</w:t>
      </w:r>
      <w:r w:rsidR="003A3CF5">
        <w:t xml:space="preserve"> </w:t>
      </w:r>
      <w:r w:rsidR="00B8625B">
        <w:t xml:space="preserve">IEEE Trans. </w:t>
      </w:r>
      <w:r w:rsidR="005F4856">
        <w:t xml:space="preserve">Comm., </w:t>
      </w:r>
      <w:r w:rsidR="005D20DC">
        <w:t>Aug. 2007.</w:t>
      </w:r>
      <w:bookmarkEnd w:id="611"/>
    </w:p>
    <w:p w14:paraId="54F37563" w14:textId="1D443037" w:rsidR="00EA55D0" w:rsidRDefault="00EA55D0" w:rsidP="008A2C71">
      <w:pPr>
        <w:pStyle w:val="Reference"/>
      </w:pPr>
      <w:bookmarkStart w:id="612" w:name="_Ref46838837"/>
      <w:r w:rsidRPr="00F94015">
        <w:lastRenderedPageBreak/>
        <w:t>R1-200</w:t>
      </w:r>
      <w:r w:rsidR="000913A6" w:rsidRPr="00B710E9">
        <w:t>5922</w:t>
      </w:r>
      <w:r>
        <w:t xml:space="preserve">, </w:t>
      </w:r>
      <w:r w:rsidR="001E5D5D">
        <w:t>Phase noise compensation approaches for OFDM</w:t>
      </w:r>
      <w:r>
        <w:t>, Ericsson</w:t>
      </w:r>
      <w:bookmarkEnd w:id="612"/>
    </w:p>
    <w:p w14:paraId="16340ADF" w14:textId="2604295E" w:rsidR="00664D81" w:rsidRPr="00EA0A41" w:rsidRDefault="004A03B7" w:rsidP="008A2C71">
      <w:pPr>
        <w:pStyle w:val="Reference"/>
      </w:pPr>
      <w:bookmarkStart w:id="613" w:name="_Ref46321089"/>
      <w:r>
        <w:t xml:space="preserve">R1-2005193, </w:t>
      </w:r>
      <w:r w:rsidR="0055756B" w:rsidRPr="0055756B">
        <w:t>Summary #3 of email discussions for [101-e-Post-NR-52_71_GHz]</w:t>
      </w:r>
      <w:bookmarkEnd w:id="613"/>
    </w:p>
    <w:p w14:paraId="5BC82947" w14:textId="77777777" w:rsidR="008A2C71" w:rsidRPr="00EA0A41" w:rsidRDefault="008A2C71" w:rsidP="008A2C71">
      <w:pPr>
        <w:pStyle w:val="Reference"/>
      </w:pPr>
      <w:bookmarkStart w:id="614" w:name="_Ref39243485"/>
      <w:bookmarkStart w:id="615" w:name="_Ref39243405"/>
      <w:r w:rsidRPr="00EA0A41">
        <w:t xml:space="preserve">TR 38.901, </w:t>
      </w:r>
      <w:r w:rsidRPr="00EA0A41">
        <w:rPr>
          <w:lang w:eastAsia="ko-KR"/>
        </w:rPr>
        <w:t>Study on channel model for frequencies from 0.5 to 100 GHz</w:t>
      </w:r>
      <w:bookmarkEnd w:id="614"/>
    </w:p>
    <w:p w14:paraId="28E46C86" w14:textId="77777777" w:rsidR="008A2C71" w:rsidRPr="00EA0A41" w:rsidRDefault="008A2C71" w:rsidP="008A2C71">
      <w:pPr>
        <w:pStyle w:val="Reference"/>
      </w:pPr>
      <w:bookmarkStart w:id="616" w:name="_Ref39243463"/>
      <w:r w:rsidRPr="00EA0A41">
        <w:t>A. Simonsson, H. Asplund, J. Medbo and K. Werner, "Beamforming Impact on Time Dispersion Assessed on Measured Channels," 2018 IEEE 87th Vehicular Technology Conference (VTC Spring), Porto, 2018, pp. 1-6.</w:t>
      </w:r>
      <w:bookmarkEnd w:id="615"/>
      <w:bookmarkEnd w:id="616"/>
    </w:p>
    <w:p w14:paraId="5E242173" w14:textId="77777777" w:rsidR="008A2C71" w:rsidRDefault="008A2C71" w:rsidP="008A2C71">
      <w:pPr>
        <w:pStyle w:val="Reference"/>
      </w:pPr>
      <w:bookmarkStart w:id="617" w:name="_Ref39586750"/>
      <w:r>
        <w:t xml:space="preserve">TS 38.214, </w:t>
      </w:r>
      <w:r w:rsidRPr="00F51238">
        <w:t>Physical layer procedures for data</w:t>
      </w:r>
      <w:r>
        <w:t>.</w:t>
      </w:r>
      <w:bookmarkEnd w:id="617"/>
    </w:p>
    <w:p w14:paraId="2B2431A3" w14:textId="77777777" w:rsidR="008A2C71" w:rsidRDefault="008A2C71" w:rsidP="008A2C71">
      <w:pPr>
        <w:pStyle w:val="Reference"/>
      </w:pPr>
      <w:bookmarkStart w:id="618" w:name="_Ref39589635"/>
      <w:r>
        <w:t xml:space="preserve">TS 38.213, </w:t>
      </w:r>
      <w:r w:rsidRPr="00D11F23">
        <w:t xml:space="preserve">Physical layer procedures for </w:t>
      </w:r>
      <w:r>
        <w:t>control.</w:t>
      </w:r>
      <w:bookmarkEnd w:id="618"/>
    </w:p>
    <w:p w14:paraId="26911388" w14:textId="77777777" w:rsidR="008A2C71" w:rsidRDefault="008A2C71" w:rsidP="008A2C71">
      <w:pPr>
        <w:pStyle w:val="Reference"/>
      </w:pPr>
      <w:bookmarkStart w:id="619" w:name="_Ref39673732"/>
      <w:r>
        <w:t>TR 38.803, Study on new radio access technology: Radio Frequency (RF) and co-existence aspects.</w:t>
      </w:r>
      <w:bookmarkEnd w:id="619"/>
    </w:p>
    <w:bookmarkStart w:id="620" w:name="_Ref40272835"/>
    <w:p w14:paraId="26316C9F" w14:textId="74010B7A" w:rsidR="008A2C71" w:rsidRPr="00371D18" w:rsidRDefault="008A2C71" w:rsidP="008A2C71">
      <w:pPr>
        <w:pStyle w:val="Reference"/>
      </w:pPr>
      <w:r w:rsidRPr="0035235B">
        <w:rPr>
          <w:lang w:val="en-GB"/>
        </w:rPr>
        <w:fldChar w:fldCharType="begin"/>
      </w:r>
      <w:r w:rsidRPr="00371D18">
        <w:instrText xml:space="preserve"> HYPERLINK "https://web.archive.org/web/20140823221003/http:/cp.literature.agilent.com/litweb/pdf/5990-9697EN.pdf" </w:instrText>
      </w:r>
      <w:r w:rsidR="00CF206F" w:rsidRPr="0035235B">
        <w:rPr>
          <w:lang w:val="en-GB"/>
        </w:rPr>
      </w:r>
      <w:r w:rsidRPr="0035235B">
        <w:rPr>
          <w:lang w:val="en-GB"/>
        </w:rPr>
        <w:fldChar w:fldCharType="separate"/>
      </w:r>
      <w:r w:rsidRPr="0035235B">
        <w:rPr>
          <w:rStyle w:val="Hyperlink"/>
          <w:rFonts w:cs="Arial"/>
          <w:color w:val="663366"/>
          <w:shd w:val="clear" w:color="auto" w:fill="FFFFFF"/>
        </w:rPr>
        <w:t>"Wireless LAN at 60 GHz - IEEE 802.11ad Explained"</w:t>
      </w:r>
      <w:r w:rsidRPr="0035235B">
        <w:rPr>
          <w:rStyle w:val="Hyperlink"/>
          <w:rFonts w:cs="Arial"/>
          <w:color w:val="663366"/>
          <w:shd w:val="clear" w:color="auto" w:fill="FFFFFF"/>
        </w:rPr>
        <w:fldChar w:fldCharType="end"/>
      </w:r>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w:t>
      </w:r>
      <w:r w:rsidRPr="0035235B">
        <w:rPr>
          <w:rFonts w:cs="Arial"/>
          <w:i/>
          <w:color w:val="222222"/>
          <w:shd w:val="clear" w:color="auto" w:fill="FFFFFF"/>
        </w:rPr>
        <w:t>Application note from </w:t>
      </w:r>
      <w:r w:rsidR="00DF615C" w:rsidRPr="00F94015">
        <w:t>Agilent</w:t>
      </w:r>
      <w:r w:rsidRPr="0035235B">
        <w:rPr>
          <w:rFonts w:cs="Arial"/>
          <w:color w:val="222222"/>
          <w:shd w:val="clear" w:color="auto" w:fill="FFFFFF"/>
        </w:rPr>
        <w:t>. 2013-05-30. Archived from </w:t>
      </w:r>
      <w:hyperlink r:id="rId53" w:history="1">
        <w:r w:rsidRPr="0035235B">
          <w:rPr>
            <w:rStyle w:val="Hyperlink"/>
            <w:rFonts w:cs="Arial"/>
            <w:color w:val="663366"/>
            <w:shd w:val="clear" w:color="auto" w:fill="FFFFFF"/>
          </w:rPr>
          <w:t>the original</w:t>
        </w:r>
      </w:hyperlink>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on 2014-08-23</w:t>
      </w:r>
      <w:r w:rsidRPr="0035235B">
        <w:rPr>
          <w:rStyle w:val="reference-accessdate"/>
          <w:rFonts w:cs="Arial"/>
          <w:color w:val="222222"/>
          <w:shd w:val="clear" w:color="auto" w:fill="FFFFFF"/>
        </w:rPr>
        <w:t>. Retrieved </w:t>
      </w:r>
      <w:r w:rsidRPr="0035235B">
        <w:rPr>
          <w:rStyle w:val="nowrap"/>
          <w:rFonts w:cs="Arial"/>
          <w:color w:val="222222"/>
          <w:shd w:val="clear" w:color="auto" w:fill="FFFFFF"/>
        </w:rPr>
        <w:t>2014-05-08</w:t>
      </w:r>
      <w:r w:rsidRPr="0035235B">
        <w:rPr>
          <w:rFonts w:cs="Arial"/>
          <w:color w:val="222222"/>
          <w:shd w:val="clear" w:color="auto" w:fill="FFFFFF"/>
        </w:rPr>
        <w:t>.</w:t>
      </w:r>
      <w:bookmarkEnd w:id="620"/>
    </w:p>
    <w:bookmarkStart w:id="621" w:name="_Ref40272838"/>
    <w:p w14:paraId="5120D97E" w14:textId="56AF2CDC" w:rsidR="008A2C71" w:rsidRPr="00371D18" w:rsidRDefault="008A2C71" w:rsidP="008A2C71">
      <w:pPr>
        <w:pStyle w:val="Reference"/>
      </w:pPr>
      <w:r w:rsidRPr="0035235B">
        <w:rPr>
          <w:lang w:val="en-GB"/>
        </w:rPr>
        <w:fldChar w:fldCharType="begin"/>
      </w:r>
      <w:r w:rsidRPr="00371D18">
        <w:instrText xml:space="preserve"> HYPERLINK "http://www.rohde-schwarz.com/en/applications/802.11ad-wlan-at-60-ghz-application-note_56280-50625.html" </w:instrText>
      </w:r>
      <w:r w:rsidR="00CF206F" w:rsidRPr="0035235B">
        <w:rPr>
          <w:lang w:val="en-GB"/>
        </w:rPr>
      </w:r>
      <w:r w:rsidRPr="0035235B">
        <w:rPr>
          <w:lang w:val="en-GB"/>
        </w:rPr>
        <w:fldChar w:fldCharType="separate"/>
      </w:r>
      <w:r w:rsidRPr="0035235B">
        <w:rPr>
          <w:rStyle w:val="Hyperlink"/>
          <w:rFonts w:cs="Arial"/>
          <w:color w:val="663366"/>
        </w:rPr>
        <w:t>"802.11ad - WLAN at 60 GHz A Technology Introduction"</w:t>
      </w:r>
      <w:r w:rsidRPr="0035235B">
        <w:rPr>
          <w:rStyle w:val="Hyperlink"/>
          <w:rFonts w:cs="Arial"/>
          <w:color w:val="663366"/>
        </w:rPr>
        <w:fldChar w:fldCharType="end"/>
      </w:r>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w:t>
      </w:r>
      <w:r w:rsidRPr="00F94015">
        <w:rPr>
          <w:rFonts w:cs="Arial"/>
          <w:color w:val="222222"/>
          <w:shd w:val="clear" w:color="auto" w:fill="FFFFFF"/>
        </w:rPr>
        <w:t>White Paper by </w:t>
      </w:r>
      <w:r w:rsidR="00DF615C" w:rsidRPr="00F94015">
        <w:t>Rohde &amp; Schwarz</w:t>
      </w:r>
      <w:r w:rsidRPr="0035235B">
        <w:rPr>
          <w:rFonts w:cs="Arial"/>
          <w:color w:val="222222"/>
          <w:shd w:val="clear" w:color="auto" w:fill="FFFFFF"/>
        </w:rPr>
        <w:t>. 2013-11-21</w:t>
      </w:r>
      <w:r w:rsidRPr="0035235B">
        <w:rPr>
          <w:rStyle w:val="reference-accessdate"/>
          <w:rFonts w:cs="Arial"/>
          <w:color w:val="222222"/>
          <w:shd w:val="clear" w:color="auto" w:fill="FFFFFF"/>
        </w:rPr>
        <w:t>. Retrieved </w:t>
      </w:r>
      <w:r w:rsidRPr="0035235B">
        <w:rPr>
          <w:rStyle w:val="nowrap"/>
          <w:rFonts w:cs="Arial"/>
          <w:color w:val="222222"/>
          <w:shd w:val="clear" w:color="auto" w:fill="FFFFFF"/>
        </w:rPr>
        <w:t>2014-12-09</w:t>
      </w:r>
      <w:r w:rsidRPr="0035235B">
        <w:rPr>
          <w:rFonts w:cs="Arial"/>
          <w:color w:val="222222"/>
          <w:shd w:val="clear" w:color="auto" w:fill="FFFFFF"/>
        </w:rPr>
        <w:t>.</w:t>
      </w:r>
      <w:bookmarkEnd w:id="621"/>
    </w:p>
    <w:bookmarkStart w:id="622" w:name="_Ref40272840"/>
    <w:p w14:paraId="7444866B" w14:textId="68C14E7A" w:rsidR="008A2C71" w:rsidRDefault="008A2C71" w:rsidP="008A2C71">
      <w:pPr>
        <w:pStyle w:val="Reference"/>
      </w:pPr>
      <w:r>
        <w:fldChar w:fldCharType="begin"/>
      </w:r>
      <w:r>
        <w:instrText xml:space="preserve"> HYPERLINK "https://www.smallnetbuilder.com/tags/80211ad" </w:instrText>
      </w:r>
      <w:r>
        <w:fldChar w:fldCharType="separate"/>
      </w:r>
      <w:r>
        <w:rPr>
          <w:rStyle w:val="Hyperlink"/>
        </w:rPr>
        <w:t>https://www.smallnetbuilder.com/tags/80211ad</w:t>
      </w:r>
      <w:r>
        <w:rPr>
          <w:rStyle w:val="Hyperlink"/>
        </w:rPr>
        <w:fldChar w:fldCharType="end"/>
      </w:r>
      <w:r>
        <w:t>.</w:t>
      </w:r>
      <w:bookmarkEnd w:id="622"/>
    </w:p>
    <w:p w14:paraId="50DC7179" w14:textId="4AAE4E96" w:rsidR="00A12073" w:rsidRDefault="008444EB" w:rsidP="008A2C71">
      <w:pPr>
        <w:pStyle w:val="Reference"/>
        <w:rPr>
          <w:lang w:eastAsia="en-US"/>
        </w:rPr>
      </w:pPr>
      <w:bookmarkStart w:id="623" w:name="_Ref47530541"/>
      <w:r>
        <w:t>R4-2009921, “Key technology considerations relating to 52-71GHz specification”</w:t>
      </w:r>
      <w:r w:rsidR="00FD2374">
        <w:t>, Ericsson</w:t>
      </w:r>
      <w:bookmarkEnd w:id="623"/>
    </w:p>
    <w:bookmarkEnd w:id="605"/>
    <w:bookmarkEnd w:id="606"/>
    <w:p w14:paraId="6B915264" w14:textId="75C35129" w:rsidR="008A2C71" w:rsidRDefault="008A2C71" w:rsidP="008A2C71">
      <w:pPr>
        <w:pStyle w:val="BodyText"/>
      </w:pPr>
    </w:p>
    <w:sectPr w:rsidR="008A2C71"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2344DE" w14:textId="77777777" w:rsidR="00DA663E" w:rsidRDefault="00DA663E">
      <w:pPr>
        <w:spacing w:after="0"/>
      </w:pPr>
      <w:r>
        <w:separator/>
      </w:r>
    </w:p>
  </w:endnote>
  <w:endnote w:type="continuationSeparator" w:id="0">
    <w:p w14:paraId="191FA64A" w14:textId="77777777" w:rsidR="00DA663E" w:rsidRDefault="00DA663E">
      <w:pPr>
        <w:spacing w:after="0"/>
      </w:pPr>
      <w:r>
        <w:continuationSeparator/>
      </w:r>
    </w:p>
  </w:endnote>
  <w:endnote w:type="continuationNotice" w:id="1">
    <w:p w14:paraId="6D44A608" w14:textId="77777777" w:rsidR="00DA663E" w:rsidRDefault="00DA66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0000000000000000000"/>
    <w:charset w:val="86"/>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D5ECFB" w14:textId="77777777" w:rsidR="00DA663E" w:rsidRDefault="00DA663E">
      <w:pPr>
        <w:spacing w:after="0"/>
      </w:pPr>
      <w:r>
        <w:separator/>
      </w:r>
    </w:p>
  </w:footnote>
  <w:footnote w:type="continuationSeparator" w:id="0">
    <w:p w14:paraId="66A68EAF" w14:textId="77777777" w:rsidR="00DA663E" w:rsidRDefault="00DA663E">
      <w:pPr>
        <w:spacing w:after="0"/>
      </w:pPr>
      <w:r>
        <w:continuationSeparator/>
      </w:r>
    </w:p>
  </w:footnote>
  <w:footnote w:type="continuationNotice" w:id="1">
    <w:p w14:paraId="49F51410" w14:textId="77777777" w:rsidR="00DA663E" w:rsidRDefault="00DA663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C83082"/>
    <w:multiLevelType w:val="hybridMultilevel"/>
    <w:tmpl w:val="994ED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BC3215"/>
    <w:multiLevelType w:val="hybridMultilevel"/>
    <w:tmpl w:val="FA02B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C92EBB"/>
    <w:multiLevelType w:val="hybridMultilevel"/>
    <w:tmpl w:val="DDA80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296377"/>
    <w:multiLevelType w:val="hybridMultilevel"/>
    <w:tmpl w:val="F4060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1546ECA"/>
    <w:multiLevelType w:val="hybridMultilevel"/>
    <w:tmpl w:val="12A0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B15895"/>
    <w:multiLevelType w:val="hybridMultilevel"/>
    <w:tmpl w:val="4614E966"/>
    <w:lvl w:ilvl="0" w:tplc="78A864BC">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48F7779"/>
    <w:multiLevelType w:val="hybridMultilevel"/>
    <w:tmpl w:val="7CEE2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5063F82"/>
    <w:multiLevelType w:val="hybridMultilevel"/>
    <w:tmpl w:val="30C8BB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6C94569"/>
    <w:multiLevelType w:val="hybridMultilevel"/>
    <w:tmpl w:val="0CA6A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DD2C9A"/>
    <w:multiLevelType w:val="hybridMultilevel"/>
    <w:tmpl w:val="B5BEB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0936655"/>
    <w:multiLevelType w:val="hybridMultilevel"/>
    <w:tmpl w:val="3D80A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470992"/>
    <w:multiLevelType w:val="hybridMultilevel"/>
    <w:tmpl w:val="C20831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ABD51AF"/>
    <w:multiLevelType w:val="hybridMultilevel"/>
    <w:tmpl w:val="F8DC9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D5D13A8"/>
    <w:multiLevelType w:val="hybridMultilevel"/>
    <w:tmpl w:val="7BB69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9B88564C"/>
    <w:lvl w:ilvl="0" w:tplc="166A3800">
      <w:start w:val="1"/>
      <w:numFmt w:val="decimal"/>
      <w:pStyle w:val="Proposal"/>
      <w:lvlText w:val="Proposal %1"/>
      <w:lvlJc w:val="left"/>
      <w:pPr>
        <w:tabs>
          <w:tab w:val="num" w:pos="1304"/>
        </w:tabs>
        <w:ind w:left="1304" w:hanging="1304"/>
      </w:pPr>
      <w:rPr>
        <w:rFonts w:hint="default"/>
        <w:b/>
        <w:bC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07A3C2B"/>
    <w:multiLevelType w:val="hybridMultilevel"/>
    <w:tmpl w:val="10866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1908DD"/>
    <w:multiLevelType w:val="hybridMultilevel"/>
    <w:tmpl w:val="8C5C1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47B7731"/>
    <w:multiLevelType w:val="hybridMultilevel"/>
    <w:tmpl w:val="DB12F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236934"/>
    <w:multiLevelType w:val="hybridMultilevel"/>
    <w:tmpl w:val="D30AD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BB76E98"/>
    <w:multiLevelType w:val="hybridMultilevel"/>
    <w:tmpl w:val="9B3600C4"/>
    <w:lvl w:ilvl="0" w:tplc="9E4686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CAE7503"/>
    <w:multiLevelType w:val="hybridMultilevel"/>
    <w:tmpl w:val="A190C3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79E0E4E"/>
    <w:multiLevelType w:val="hybridMultilevel"/>
    <w:tmpl w:val="0ED68E5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021CF2"/>
    <w:multiLevelType w:val="hybridMultilevel"/>
    <w:tmpl w:val="37AC3A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7B733D"/>
    <w:multiLevelType w:val="hybridMultilevel"/>
    <w:tmpl w:val="545A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67125D31"/>
    <w:multiLevelType w:val="hybridMultilevel"/>
    <w:tmpl w:val="F7C60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2E60BE"/>
    <w:multiLevelType w:val="hybridMultilevel"/>
    <w:tmpl w:val="359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7568AD"/>
    <w:multiLevelType w:val="hybridMultilevel"/>
    <w:tmpl w:val="24EAA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1" w15:restartNumberingAfterBreak="0">
    <w:nsid w:val="71A931DA"/>
    <w:multiLevelType w:val="hybridMultilevel"/>
    <w:tmpl w:val="6EA4FF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3" w15:restartNumberingAfterBreak="0">
    <w:nsid w:val="7A765684"/>
    <w:multiLevelType w:val="hybridMultilevel"/>
    <w:tmpl w:val="B76C4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C5173D6"/>
    <w:multiLevelType w:val="hybridMultilevel"/>
    <w:tmpl w:val="5942CC7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36"/>
  </w:num>
  <w:num w:numId="3">
    <w:abstractNumId w:val="27"/>
  </w:num>
  <w:num w:numId="4">
    <w:abstractNumId w:val="28"/>
  </w:num>
  <w:num w:numId="5">
    <w:abstractNumId w:val="23"/>
  </w:num>
  <w:num w:numId="6">
    <w:abstractNumId w:val="32"/>
  </w:num>
  <w:num w:numId="7">
    <w:abstractNumId w:val="41"/>
  </w:num>
  <w:num w:numId="8">
    <w:abstractNumId w:val="24"/>
  </w:num>
  <w:num w:numId="9">
    <w:abstractNumId w:val="21"/>
  </w:num>
  <w:num w:numId="10">
    <w:abstractNumId w:val="2"/>
  </w:num>
  <w:num w:numId="11">
    <w:abstractNumId w:val="1"/>
  </w:num>
  <w:num w:numId="12">
    <w:abstractNumId w:val="0"/>
  </w:num>
  <w:num w:numId="13">
    <w:abstractNumId w:val="38"/>
  </w:num>
  <w:num w:numId="14">
    <w:abstractNumId w:val="39"/>
  </w:num>
  <w:num w:numId="15">
    <w:abstractNumId w:val="29"/>
  </w:num>
  <w:num w:numId="16">
    <w:abstractNumId w:val="45"/>
  </w:num>
  <w:num w:numId="17">
    <w:abstractNumId w:val="16"/>
  </w:num>
  <w:num w:numId="18">
    <w:abstractNumId w:val="19"/>
  </w:num>
  <w:num w:numId="19">
    <w:abstractNumId w:val="8"/>
  </w:num>
  <w:num w:numId="20">
    <w:abstractNumId w:val="52"/>
  </w:num>
  <w:num w:numId="21">
    <w:abstractNumId w:val="25"/>
  </w:num>
  <w:num w:numId="22">
    <w:abstractNumId w:val="50"/>
  </w:num>
  <w:num w:numId="23">
    <w:abstractNumId w:val="26"/>
  </w:num>
  <w:num w:numId="24">
    <w:abstractNumId w:val="43"/>
  </w:num>
  <w:num w:numId="25">
    <w:abstractNumId w:val="49"/>
  </w:num>
  <w:num w:numId="26">
    <w:abstractNumId w:val="44"/>
  </w:num>
  <w:num w:numId="27">
    <w:abstractNumId w:val="7"/>
  </w:num>
  <w:num w:numId="28">
    <w:abstractNumId w:val="37"/>
  </w:num>
  <w:num w:numId="29">
    <w:abstractNumId w:val="13"/>
  </w:num>
  <w:num w:numId="30">
    <w:abstractNumId w:val="54"/>
  </w:num>
  <w:num w:numId="31">
    <w:abstractNumId w:val="46"/>
  </w:num>
  <w:num w:numId="32">
    <w:abstractNumId w:val="4"/>
  </w:num>
  <w:num w:numId="33">
    <w:abstractNumId w:val="14"/>
  </w:num>
  <w:num w:numId="34">
    <w:abstractNumId w:val="18"/>
  </w:num>
  <w:num w:numId="35">
    <w:abstractNumId w:val="12"/>
  </w:num>
  <w:num w:numId="36">
    <w:abstractNumId w:val="34"/>
  </w:num>
  <w:num w:numId="37">
    <w:abstractNumId w:val="10"/>
  </w:num>
  <w:num w:numId="38">
    <w:abstractNumId w:val="47"/>
  </w:num>
  <w:num w:numId="39">
    <w:abstractNumId w:val="53"/>
  </w:num>
  <w:num w:numId="40">
    <w:abstractNumId w:val="17"/>
  </w:num>
  <w:num w:numId="41">
    <w:abstractNumId w:val="9"/>
  </w:num>
  <w:num w:numId="42">
    <w:abstractNumId w:val="48"/>
  </w:num>
  <w:num w:numId="43">
    <w:abstractNumId w:val="20"/>
  </w:num>
  <w:num w:numId="44">
    <w:abstractNumId w:val="40"/>
  </w:num>
  <w:num w:numId="45">
    <w:abstractNumId w:val="31"/>
  </w:num>
  <w:num w:numId="46">
    <w:abstractNumId w:val="33"/>
  </w:num>
  <w:num w:numId="47">
    <w:abstractNumId w:val="22"/>
  </w:num>
  <w:num w:numId="48">
    <w:abstractNumId w:val="30"/>
  </w:num>
  <w:num w:numId="49">
    <w:abstractNumId w:val="5"/>
  </w:num>
  <w:num w:numId="50">
    <w:abstractNumId w:val="11"/>
  </w:num>
  <w:num w:numId="51">
    <w:abstractNumId w:val="35"/>
  </w:num>
  <w:num w:numId="52">
    <w:abstractNumId w:val="42"/>
  </w:num>
  <w:num w:numId="53">
    <w:abstractNumId w:val="6"/>
  </w:num>
  <w:num w:numId="54">
    <w:abstractNumId w:val="51"/>
  </w:num>
  <w:num w:numId="55">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defaultTabStop w:val="720"/>
  <w:hyphenationZone w:val="425"/>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80F"/>
    <w:rsid w:val="000009D5"/>
    <w:rsid w:val="00001030"/>
    <w:rsid w:val="00002B3C"/>
    <w:rsid w:val="0000301E"/>
    <w:rsid w:val="0000358D"/>
    <w:rsid w:val="000036D8"/>
    <w:rsid w:val="00005E27"/>
    <w:rsid w:val="00006BF2"/>
    <w:rsid w:val="00007241"/>
    <w:rsid w:val="000072A6"/>
    <w:rsid w:val="000073DA"/>
    <w:rsid w:val="00007656"/>
    <w:rsid w:val="00007881"/>
    <w:rsid w:val="00007D49"/>
    <w:rsid w:val="0001022C"/>
    <w:rsid w:val="00010C28"/>
    <w:rsid w:val="00011F30"/>
    <w:rsid w:val="00012059"/>
    <w:rsid w:val="00012953"/>
    <w:rsid w:val="000129C1"/>
    <w:rsid w:val="00012BB6"/>
    <w:rsid w:val="0001364D"/>
    <w:rsid w:val="000136B4"/>
    <w:rsid w:val="00013D1B"/>
    <w:rsid w:val="00013D7D"/>
    <w:rsid w:val="00013F9B"/>
    <w:rsid w:val="000152BA"/>
    <w:rsid w:val="0001625B"/>
    <w:rsid w:val="00016596"/>
    <w:rsid w:val="000168B6"/>
    <w:rsid w:val="00017019"/>
    <w:rsid w:val="0002114E"/>
    <w:rsid w:val="000212D0"/>
    <w:rsid w:val="00021695"/>
    <w:rsid w:val="00021847"/>
    <w:rsid w:val="0002205C"/>
    <w:rsid w:val="0002212C"/>
    <w:rsid w:val="0002258F"/>
    <w:rsid w:val="0002274E"/>
    <w:rsid w:val="00022D7F"/>
    <w:rsid w:val="00023296"/>
    <w:rsid w:val="00023508"/>
    <w:rsid w:val="00023EEE"/>
    <w:rsid w:val="000247BF"/>
    <w:rsid w:val="00024CF6"/>
    <w:rsid w:val="000254AD"/>
    <w:rsid w:val="000256F8"/>
    <w:rsid w:val="000258B9"/>
    <w:rsid w:val="00026AC8"/>
    <w:rsid w:val="00026AFC"/>
    <w:rsid w:val="00027554"/>
    <w:rsid w:val="00027A55"/>
    <w:rsid w:val="00027C85"/>
    <w:rsid w:val="00030133"/>
    <w:rsid w:val="00031170"/>
    <w:rsid w:val="00031271"/>
    <w:rsid w:val="0003145C"/>
    <w:rsid w:val="0003182A"/>
    <w:rsid w:val="0003239F"/>
    <w:rsid w:val="00032EE5"/>
    <w:rsid w:val="000331C0"/>
    <w:rsid w:val="00033D49"/>
    <w:rsid w:val="000343A3"/>
    <w:rsid w:val="000352C0"/>
    <w:rsid w:val="00035313"/>
    <w:rsid w:val="00035354"/>
    <w:rsid w:val="000353DD"/>
    <w:rsid w:val="000353F4"/>
    <w:rsid w:val="0003542C"/>
    <w:rsid w:val="000357EF"/>
    <w:rsid w:val="00035E3E"/>
    <w:rsid w:val="00035FD1"/>
    <w:rsid w:val="00036070"/>
    <w:rsid w:val="00036098"/>
    <w:rsid w:val="0003620E"/>
    <w:rsid w:val="00036974"/>
    <w:rsid w:val="00036E9F"/>
    <w:rsid w:val="00037680"/>
    <w:rsid w:val="00037981"/>
    <w:rsid w:val="00037F73"/>
    <w:rsid w:val="0004024C"/>
    <w:rsid w:val="000407E8"/>
    <w:rsid w:val="00040CF6"/>
    <w:rsid w:val="000411DE"/>
    <w:rsid w:val="00042285"/>
    <w:rsid w:val="00042C6F"/>
    <w:rsid w:val="00043321"/>
    <w:rsid w:val="000437A2"/>
    <w:rsid w:val="00044521"/>
    <w:rsid w:val="0004465D"/>
    <w:rsid w:val="00044699"/>
    <w:rsid w:val="00044E9D"/>
    <w:rsid w:val="000462A6"/>
    <w:rsid w:val="00046D77"/>
    <w:rsid w:val="00046DFB"/>
    <w:rsid w:val="00050FBE"/>
    <w:rsid w:val="00051164"/>
    <w:rsid w:val="000513CD"/>
    <w:rsid w:val="0005168C"/>
    <w:rsid w:val="00051721"/>
    <w:rsid w:val="00051771"/>
    <w:rsid w:val="00051C27"/>
    <w:rsid w:val="00052327"/>
    <w:rsid w:val="00052743"/>
    <w:rsid w:val="0005295A"/>
    <w:rsid w:val="000534A8"/>
    <w:rsid w:val="00053502"/>
    <w:rsid w:val="0005399C"/>
    <w:rsid w:val="00053EAA"/>
    <w:rsid w:val="00054241"/>
    <w:rsid w:val="0005431E"/>
    <w:rsid w:val="00054DB7"/>
    <w:rsid w:val="00055328"/>
    <w:rsid w:val="00055A9D"/>
    <w:rsid w:val="00055CA6"/>
    <w:rsid w:val="00056033"/>
    <w:rsid w:val="00057002"/>
    <w:rsid w:val="000570BF"/>
    <w:rsid w:val="000575F9"/>
    <w:rsid w:val="00061433"/>
    <w:rsid w:val="000614A9"/>
    <w:rsid w:val="000619AB"/>
    <w:rsid w:val="0006241C"/>
    <w:rsid w:val="000624B1"/>
    <w:rsid w:val="000624CA"/>
    <w:rsid w:val="00062625"/>
    <w:rsid w:val="00062EBC"/>
    <w:rsid w:val="00063058"/>
    <w:rsid w:val="0006448C"/>
    <w:rsid w:val="00065779"/>
    <w:rsid w:val="000666C5"/>
    <w:rsid w:val="00067830"/>
    <w:rsid w:val="00067FF7"/>
    <w:rsid w:val="000708B4"/>
    <w:rsid w:val="000708E3"/>
    <w:rsid w:val="000710BE"/>
    <w:rsid w:val="00071BB9"/>
    <w:rsid w:val="00071FE9"/>
    <w:rsid w:val="00072047"/>
    <w:rsid w:val="0007224E"/>
    <w:rsid w:val="000728BA"/>
    <w:rsid w:val="000736A9"/>
    <w:rsid w:val="000739DB"/>
    <w:rsid w:val="00073E97"/>
    <w:rsid w:val="00073F6C"/>
    <w:rsid w:val="000754FF"/>
    <w:rsid w:val="00076348"/>
    <w:rsid w:val="000764EF"/>
    <w:rsid w:val="000765A3"/>
    <w:rsid w:val="000805E9"/>
    <w:rsid w:val="00080F33"/>
    <w:rsid w:val="000810D0"/>
    <w:rsid w:val="0008112C"/>
    <w:rsid w:val="00081C85"/>
    <w:rsid w:val="00081E68"/>
    <w:rsid w:val="000829F3"/>
    <w:rsid w:val="00082BCA"/>
    <w:rsid w:val="00082BD4"/>
    <w:rsid w:val="00083684"/>
    <w:rsid w:val="00083CD3"/>
    <w:rsid w:val="00084587"/>
    <w:rsid w:val="00084D39"/>
    <w:rsid w:val="0008555E"/>
    <w:rsid w:val="000862C5"/>
    <w:rsid w:val="0008665B"/>
    <w:rsid w:val="000866F4"/>
    <w:rsid w:val="00086C21"/>
    <w:rsid w:val="00086DC6"/>
    <w:rsid w:val="000874F0"/>
    <w:rsid w:val="0008791B"/>
    <w:rsid w:val="00087BE7"/>
    <w:rsid w:val="00090064"/>
    <w:rsid w:val="000909B8"/>
    <w:rsid w:val="000913A6"/>
    <w:rsid w:val="00091405"/>
    <w:rsid w:val="00091E7B"/>
    <w:rsid w:val="00092C92"/>
    <w:rsid w:val="000932E6"/>
    <w:rsid w:val="0009391F"/>
    <w:rsid w:val="00095634"/>
    <w:rsid w:val="000964CF"/>
    <w:rsid w:val="00096C95"/>
    <w:rsid w:val="000A0502"/>
    <w:rsid w:val="000A0562"/>
    <w:rsid w:val="000A0A76"/>
    <w:rsid w:val="000A0B80"/>
    <w:rsid w:val="000A1AC3"/>
    <w:rsid w:val="000A1CC3"/>
    <w:rsid w:val="000A1FE1"/>
    <w:rsid w:val="000A3485"/>
    <w:rsid w:val="000A3B19"/>
    <w:rsid w:val="000A3EEE"/>
    <w:rsid w:val="000A4663"/>
    <w:rsid w:val="000A50C5"/>
    <w:rsid w:val="000A5249"/>
    <w:rsid w:val="000A557E"/>
    <w:rsid w:val="000A56FD"/>
    <w:rsid w:val="000A57C3"/>
    <w:rsid w:val="000A6C7E"/>
    <w:rsid w:val="000A73CF"/>
    <w:rsid w:val="000B16D2"/>
    <w:rsid w:val="000B17D5"/>
    <w:rsid w:val="000B1AA7"/>
    <w:rsid w:val="000B1C4C"/>
    <w:rsid w:val="000B1DDC"/>
    <w:rsid w:val="000B3066"/>
    <w:rsid w:val="000B35F8"/>
    <w:rsid w:val="000B35FD"/>
    <w:rsid w:val="000B3727"/>
    <w:rsid w:val="000B3CA5"/>
    <w:rsid w:val="000B4E3B"/>
    <w:rsid w:val="000B5D72"/>
    <w:rsid w:val="000B671E"/>
    <w:rsid w:val="000B6862"/>
    <w:rsid w:val="000B699B"/>
    <w:rsid w:val="000B6B82"/>
    <w:rsid w:val="000B718F"/>
    <w:rsid w:val="000B7E33"/>
    <w:rsid w:val="000B7F4F"/>
    <w:rsid w:val="000C036B"/>
    <w:rsid w:val="000C1265"/>
    <w:rsid w:val="000C148C"/>
    <w:rsid w:val="000C1594"/>
    <w:rsid w:val="000C1618"/>
    <w:rsid w:val="000C1D0E"/>
    <w:rsid w:val="000C2289"/>
    <w:rsid w:val="000C2742"/>
    <w:rsid w:val="000C28F1"/>
    <w:rsid w:val="000C3310"/>
    <w:rsid w:val="000C35C0"/>
    <w:rsid w:val="000C4069"/>
    <w:rsid w:val="000C573B"/>
    <w:rsid w:val="000C6984"/>
    <w:rsid w:val="000C72D4"/>
    <w:rsid w:val="000C7D73"/>
    <w:rsid w:val="000C7DF9"/>
    <w:rsid w:val="000C7E78"/>
    <w:rsid w:val="000D07EF"/>
    <w:rsid w:val="000D0A94"/>
    <w:rsid w:val="000D0FF8"/>
    <w:rsid w:val="000D1915"/>
    <w:rsid w:val="000D265E"/>
    <w:rsid w:val="000D28D9"/>
    <w:rsid w:val="000D2946"/>
    <w:rsid w:val="000D2BB0"/>
    <w:rsid w:val="000D2CA5"/>
    <w:rsid w:val="000D31CA"/>
    <w:rsid w:val="000D34C3"/>
    <w:rsid w:val="000D49B3"/>
    <w:rsid w:val="000D4A54"/>
    <w:rsid w:val="000D5003"/>
    <w:rsid w:val="000D5ED8"/>
    <w:rsid w:val="000D6094"/>
    <w:rsid w:val="000D6FD4"/>
    <w:rsid w:val="000D7028"/>
    <w:rsid w:val="000D70B5"/>
    <w:rsid w:val="000E01A7"/>
    <w:rsid w:val="000E0C13"/>
    <w:rsid w:val="000E0D12"/>
    <w:rsid w:val="000E1AB6"/>
    <w:rsid w:val="000E1D13"/>
    <w:rsid w:val="000E1EB2"/>
    <w:rsid w:val="000E1FED"/>
    <w:rsid w:val="000E26BC"/>
    <w:rsid w:val="000E3148"/>
    <w:rsid w:val="000E3727"/>
    <w:rsid w:val="000E38BB"/>
    <w:rsid w:val="000E3AEE"/>
    <w:rsid w:val="000E44F8"/>
    <w:rsid w:val="000E48E2"/>
    <w:rsid w:val="000E5473"/>
    <w:rsid w:val="000E5503"/>
    <w:rsid w:val="000E56FB"/>
    <w:rsid w:val="000E585F"/>
    <w:rsid w:val="000E5A57"/>
    <w:rsid w:val="000E5E82"/>
    <w:rsid w:val="000E6332"/>
    <w:rsid w:val="000E7153"/>
    <w:rsid w:val="000E71F2"/>
    <w:rsid w:val="000E72CC"/>
    <w:rsid w:val="000E73B0"/>
    <w:rsid w:val="000E7B2D"/>
    <w:rsid w:val="000E7F1B"/>
    <w:rsid w:val="000F0033"/>
    <w:rsid w:val="000F086A"/>
    <w:rsid w:val="000F121C"/>
    <w:rsid w:val="000F1B24"/>
    <w:rsid w:val="000F1C83"/>
    <w:rsid w:val="000F22AB"/>
    <w:rsid w:val="000F3E79"/>
    <w:rsid w:val="000F550A"/>
    <w:rsid w:val="000F5927"/>
    <w:rsid w:val="000F68AB"/>
    <w:rsid w:val="000F6A28"/>
    <w:rsid w:val="000F6B08"/>
    <w:rsid w:val="000F6DFE"/>
    <w:rsid w:val="000F7212"/>
    <w:rsid w:val="000F770B"/>
    <w:rsid w:val="000F78F2"/>
    <w:rsid w:val="00100B51"/>
    <w:rsid w:val="00101C29"/>
    <w:rsid w:val="00102B39"/>
    <w:rsid w:val="001044F3"/>
    <w:rsid w:val="001047C6"/>
    <w:rsid w:val="0010558C"/>
    <w:rsid w:val="0010570C"/>
    <w:rsid w:val="00105F05"/>
    <w:rsid w:val="00105FD6"/>
    <w:rsid w:val="001061FA"/>
    <w:rsid w:val="00106D94"/>
    <w:rsid w:val="0010722E"/>
    <w:rsid w:val="00107608"/>
    <w:rsid w:val="00111675"/>
    <w:rsid w:val="00111A8C"/>
    <w:rsid w:val="00111EF2"/>
    <w:rsid w:val="00111FAE"/>
    <w:rsid w:val="0011218B"/>
    <w:rsid w:val="00112B75"/>
    <w:rsid w:val="00113044"/>
    <w:rsid w:val="00113242"/>
    <w:rsid w:val="00114432"/>
    <w:rsid w:val="00114A7B"/>
    <w:rsid w:val="00114E3B"/>
    <w:rsid w:val="0011525F"/>
    <w:rsid w:val="001165F2"/>
    <w:rsid w:val="001177BE"/>
    <w:rsid w:val="0011786C"/>
    <w:rsid w:val="001179BA"/>
    <w:rsid w:val="00117F17"/>
    <w:rsid w:val="00117FDA"/>
    <w:rsid w:val="001205F1"/>
    <w:rsid w:val="00120769"/>
    <w:rsid w:val="00120A13"/>
    <w:rsid w:val="0012152A"/>
    <w:rsid w:val="00121AE5"/>
    <w:rsid w:val="00121B35"/>
    <w:rsid w:val="00121BD3"/>
    <w:rsid w:val="00121D5F"/>
    <w:rsid w:val="00121DA2"/>
    <w:rsid w:val="00122770"/>
    <w:rsid w:val="00123047"/>
    <w:rsid w:val="001231E9"/>
    <w:rsid w:val="00123A44"/>
    <w:rsid w:val="00124788"/>
    <w:rsid w:val="001247E3"/>
    <w:rsid w:val="001256FD"/>
    <w:rsid w:val="00125871"/>
    <w:rsid w:val="001262B7"/>
    <w:rsid w:val="001264A2"/>
    <w:rsid w:val="00127901"/>
    <w:rsid w:val="0013017C"/>
    <w:rsid w:val="001304A5"/>
    <w:rsid w:val="00130ABA"/>
    <w:rsid w:val="001311F3"/>
    <w:rsid w:val="00131948"/>
    <w:rsid w:val="00131D33"/>
    <w:rsid w:val="001327C7"/>
    <w:rsid w:val="00132A10"/>
    <w:rsid w:val="0013460A"/>
    <w:rsid w:val="00134762"/>
    <w:rsid w:val="00134B0C"/>
    <w:rsid w:val="00134E6A"/>
    <w:rsid w:val="0013506F"/>
    <w:rsid w:val="001354C0"/>
    <w:rsid w:val="00135833"/>
    <w:rsid w:val="0013604F"/>
    <w:rsid w:val="0013707E"/>
    <w:rsid w:val="0013710B"/>
    <w:rsid w:val="00137386"/>
    <w:rsid w:val="00137A54"/>
    <w:rsid w:val="00137F50"/>
    <w:rsid w:val="00140990"/>
    <w:rsid w:val="001409F4"/>
    <w:rsid w:val="00140CB2"/>
    <w:rsid w:val="00140D5F"/>
    <w:rsid w:val="00141087"/>
    <w:rsid w:val="00141AB1"/>
    <w:rsid w:val="00142127"/>
    <w:rsid w:val="001424BD"/>
    <w:rsid w:val="00142CF2"/>
    <w:rsid w:val="00142E83"/>
    <w:rsid w:val="0014350A"/>
    <w:rsid w:val="00143BA8"/>
    <w:rsid w:val="00143BB1"/>
    <w:rsid w:val="00143E35"/>
    <w:rsid w:val="00145949"/>
    <w:rsid w:val="001465E7"/>
    <w:rsid w:val="00146C9A"/>
    <w:rsid w:val="001477B0"/>
    <w:rsid w:val="0015090C"/>
    <w:rsid w:val="00150A8A"/>
    <w:rsid w:val="00151CB4"/>
    <w:rsid w:val="00153089"/>
    <w:rsid w:val="00153B40"/>
    <w:rsid w:val="00153B9D"/>
    <w:rsid w:val="00154FCD"/>
    <w:rsid w:val="00155237"/>
    <w:rsid w:val="00155279"/>
    <w:rsid w:val="001554E4"/>
    <w:rsid w:val="00155598"/>
    <w:rsid w:val="00155B25"/>
    <w:rsid w:val="00155CD3"/>
    <w:rsid w:val="001562DD"/>
    <w:rsid w:val="0015635F"/>
    <w:rsid w:val="001563CE"/>
    <w:rsid w:val="001569A4"/>
    <w:rsid w:val="00156B29"/>
    <w:rsid w:val="00156B8F"/>
    <w:rsid w:val="00156D8F"/>
    <w:rsid w:val="00156ED3"/>
    <w:rsid w:val="001573F7"/>
    <w:rsid w:val="0015767A"/>
    <w:rsid w:val="00160866"/>
    <w:rsid w:val="001613DD"/>
    <w:rsid w:val="00161704"/>
    <w:rsid w:val="00161C28"/>
    <w:rsid w:val="00161CB3"/>
    <w:rsid w:val="001627D2"/>
    <w:rsid w:val="00162A95"/>
    <w:rsid w:val="0016333A"/>
    <w:rsid w:val="001639CF"/>
    <w:rsid w:val="00163DD8"/>
    <w:rsid w:val="00164581"/>
    <w:rsid w:val="00164EF3"/>
    <w:rsid w:val="001650DE"/>
    <w:rsid w:val="00165CF8"/>
    <w:rsid w:val="00165ECC"/>
    <w:rsid w:val="001660ED"/>
    <w:rsid w:val="001662BD"/>
    <w:rsid w:val="0016638C"/>
    <w:rsid w:val="00166407"/>
    <w:rsid w:val="00166680"/>
    <w:rsid w:val="001666A4"/>
    <w:rsid w:val="00167F8B"/>
    <w:rsid w:val="0017058A"/>
    <w:rsid w:val="00170724"/>
    <w:rsid w:val="0017083F"/>
    <w:rsid w:val="001709BC"/>
    <w:rsid w:val="00170BB2"/>
    <w:rsid w:val="00171302"/>
    <w:rsid w:val="001716CC"/>
    <w:rsid w:val="0017173E"/>
    <w:rsid w:val="00172C96"/>
    <w:rsid w:val="001746C7"/>
    <w:rsid w:val="00174751"/>
    <w:rsid w:val="00174F09"/>
    <w:rsid w:val="00174FB3"/>
    <w:rsid w:val="00175158"/>
    <w:rsid w:val="001751CD"/>
    <w:rsid w:val="00175392"/>
    <w:rsid w:val="00175499"/>
    <w:rsid w:val="0017566D"/>
    <w:rsid w:val="001759FD"/>
    <w:rsid w:val="00176004"/>
    <w:rsid w:val="0017625D"/>
    <w:rsid w:val="00176BC8"/>
    <w:rsid w:val="00176BFC"/>
    <w:rsid w:val="0017704D"/>
    <w:rsid w:val="0017763F"/>
    <w:rsid w:val="001778E8"/>
    <w:rsid w:val="00177E9D"/>
    <w:rsid w:val="001800A9"/>
    <w:rsid w:val="00180FA1"/>
    <w:rsid w:val="00180FF1"/>
    <w:rsid w:val="00181317"/>
    <w:rsid w:val="00182402"/>
    <w:rsid w:val="00183CAA"/>
    <w:rsid w:val="00184E23"/>
    <w:rsid w:val="00184EE1"/>
    <w:rsid w:val="00184FCE"/>
    <w:rsid w:val="001850CD"/>
    <w:rsid w:val="00185F25"/>
    <w:rsid w:val="001864D8"/>
    <w:rsid w:val="00186902"/>
    <w:rsid w:val="00187765"/>
    <w:rsid w:val="00187BF0"/>
    <w:rsid w:val="00190885"/>
    <w:rsid w:val="00190CC9"/>
    <w:rsid w:val="00191313"/>
    <w:rsid w:val="00191867"/>
    <w:rsid w:val="00192024"/>
    <w:rsid w:val="00192E2D"/>
    <w:rsid w:val="00193197"/>
    <w:rsid w:val="0019341D"/>
    <w:rsid w:val="00194EFA"/>
    <w:rsid w:val="0019577B"/>
    <w:rsid w:val="001966F0"/>
    <w:rsid w:val="0019717C"/>
    <w:rsid w:val="00197272"/>
    <w:rsid w:val="001972D4"/>
    <w:rsid w:val="001974CD"/>
    <w:rsid w:val="00197712"/>
    <w:rsid w:val="00197764"/>
    <w:rsid w:val="001978A0"/>
    <w:rsid w:val="001A0240"/>
    <w:rsid w:val="001A0406"/>
    <w:rsid w:val="001A0873"/>
    <w:rsid w:val="001A1116"/>
    <w:rsid w:val="001A170B"/>
    <w:rsid w:val="001A1EC2"/>
    <w:rsid w:val="001A2119"/>
    <w:rsid w:val="001A2148"/>
    <w:rsid w:val="001A2169"/>
    <w:rsid w:val="001A2578"/>
    <w:rsid w:val="001A2A78"/>
    <w:rsid w:val="001A2AA5"/>
    <w:rsid w:val="001A2C20"/>
    <w:rsid w:val="001A3557"/>
    <w:rsid w:val="001A373A"/>
    <w:rsid w:val="001A3B77"/>
    <w:rsid w:val="001A50CC"/>
    <w:rsid w:val="001A5224"/>
    <w:rsid w:val="001A5391"/>
    <w:rsid w:val="001A53AA"/>
    <w:rsid w:val="001A5DFE"/>
    <w:rsid w:val="001A60F9"/>
    <w:rsid w:val="001A62DF"/>
    <w:rsid w:val="001A6560"/>
    <w:rsid w:val="001A67AF"/>
    <w:rsid w:val="001A6A83"/>
    <w:rsid w:val="001A6D6E"/>
    <w:rsid w:val="001A7685"/>
    <w:rsid w:val="001A7795"/>
    <w:rsid w:val="001A77FB"/>
    <w:rsid w:val="001B0390"/>
    <w:rsid w:val="001B0789"/>
    <w:rsid w:val="001B12BB"/>
    <w:rsid w:val="001B1696"/>
    <w:rsid w:val="001B1D79"/>
    <w:rsid w:val="001B247B"/>
    <w:rsid w:val="001B28F5"/>
    <w:rsid w:val="001B2BDC"/>
    <w:rsid w:val="001B2D5F"/>
    <w:rsid w:val="001B3618"/>
    <w:rsid w:val="001B36D6"/>
    <w:rsid w:val="001B38D3"/>
    <w:rsid w:val="001B424F"/>
    <w:rsid w:val="001B4C4F"/>
    <w:rsid w:val="001B58A9"/>
    <w:rsid w:val="001B601F"/>
    <w:rsid w:val="001B69CA"/>
    <w:rsid w:val="001B778F"/>
    <w:rsid w:val="001B7F5E"/>
    <w:rsid w:val="001C01BE"/>
    <w:rsid w:val="001C026F"/>
    <w:rsid w:val="001C04D0"/>
    <w:rsid w:val="001C06CF"/>
    <w:rsid w:val="001C09D3"/>
    <w:rsid w:val="001C0DD2"/>
    <w:rsid w:val="001C0EA3"/>
    <w:rsid w:val="001C14FF"/>
    <w:rsid w:val="001C197D"/>
    <w:rsid w:val="001C1EFF"/>
    <w:rsid w:val="001C20CD"/>
    <w:rsid w:val="001C23E8"/>
    <w:rsid w:val="001C2D2B"/>
    <w:rsid w:val="001C2D41"/>
    <w:rsid w:val="001C3202"/>
    <w:rsid w:val="001C432A"/>
    <w:rsid w:val="001C4ECB"/>
    <w:rsid w:val="001C529C"/>
    <w:rsid w:val="001C6103"/>
    <w:rsid w:val="001C6E1D"/>
    <w:rsid w:val="001C771A"/>
    <w:rsid w:val="001C7EA8"/>
    <w:rsid w:val="001D0FD9"/>
    <w:rsid w:val="001D1362"/>
    <w:rsid w:val="001D147A"/>
    <w:rsid w:val="001D2295"/>
    <w:rsid w:val="001D2388"/>
    <w:rsid w:val="001D256D"/>
    <w:rsid w:val="001D25ED"/>
    <w:rsid w:val="001D2845"/>
    <w:rsid w:val="001D2951"/>
    <w:rsid w:val="001D30AD"/>
    <w:rsid w:val="001D3572"/>
    <w:rsid w:val="001D3FA1"/>
    <w:rsid w:val="001D490C"/>
    <w:rsid w:val="001D4E62"/>
    <w:rsid w:val="001D4EF2"/>
    <w:rsid w:val="001D55AE"/>
    <w:rsid w:val="001D59F2"/>
    <w:rsid w:val="001D5D87"/>
    <w:rsid w:val="001D5E88"/>
    <w:rsid w:val="001D5EF3"/>
    <w:rsid w:val="001D69FD"/>
    <w:rsid w:val="001D6C8D"/>
    <w:rsid w:val="001D70B4"/>
    <w:rsid w:val="001D7225"/>
    <w:rsid w:val="001D747A"/>
    <w:rsid w:val="001D7B59"/>
    <w:rsid w:val="001D7BB6"/>
    <w:rsid w:val="001D7CC0"/>
    <w:rsid w:val="001D7ED8"/>
    <w:rsid w:val="001E0D56"/>
    <w:rsid w:val="001E0E59"/>
    <w:rsid w:val="001E1BA1"/>
    <w:rsid w:val="001E1D61"/>
    <w:rsid w:val="001E1DE5"/>
    <w:rsid w:val="001E2557"/>
    <w:rsid w:val="001E28A4"/>
    <w:rsid w:val="001E302E"/>
    <w:rsid w:val="001E3576"/>
    <w:rsid w:val="001E4005"/>
    <w:rsid w:val="001E4854"/>
    <w:rsid w:val="001E4EC7"/>
    <w:rsid w:val="001E53F9"/>
    <w:rsid w:val="001E5AEA"/>
    <w:rsid w:val="001E5C3F"/>
    <w:rsid w:val="001E5D37"/>
    <w:rsid w:val="001E5D5D"/>
    <w:rsid w:val="001E5DE9"/>
    <w:rsid w:val="001E5E05"/>
    <w:rsid w:val="001E6080"/>
    <w:rsid w:val="001E65CA"/>
    <w:rsid w:val="001E6819"/>
    <w:rsid w:val="001E6824"/>
    <w:rsid w:val="001E6D2A"/>
    <w:rsid w:val="001E7E9E"/>
    <w:rsid w:val="001F02CF"/>
    <w:rsid w:val="001F044E"/>
    <w:rsid w:val="001F05AC"/>
    <w:rsid w:val="001F0E5D"/>
    <w:rsid w:val="001F0FA6"/>
    <w:rsid w:val="001F1128"/>
    <w:rsid w:val="001F192A"/>
    <w:rsid w:val="001F22ED"/>
    <w:rsid w:val="001F2EB0"/>
    <w:rsid w:val="001F32F2"/>
    <w:rsid w:val="001F383F"/>
    <w:rsid w:val="001F42E8"/>
    <w:rsid w:val="001F434E"/>
    <w:rsid w:val="001F4866"/>
    <w:rsid w:val="001F49C9"/>
    <w:rsid w:val="001F4BD2"/>
    <w:rsid w:val="001F4CA0"/>
    <w:rsid w:val="001F59F1"/>
    <w:rsid w:val="001F6902"/>
    <w:rsid w:val="001F6A06"/>
    <w:rsid w:val="001F7275"/>
    <w:rsid w:val="0020121A"/>
    <w:rsid w:val="0020212A"/>
    <w:rsid w:val="00202591"/>
    <w:rsid w:val="002029DB"/>
    <w:rsid w:val="00202B19"/>
    <w:rsid w:val="002030F6"/>
    <w:rsid w:val="002041A8"/>
    <w:rsid w:val="00204472"/>
    <w:rsid w:val="00204DB7"/>
    <w:rsid w:val="00204F50"/>
    <w:rsid w:val="0020574C"/>
    <w:rsid w:val="00206234"/>
    <w:rsid w:val="002065FA"/>
    <w:rsid w:val="00207255"/>
    <w:rsid w:val="0020763C"/>
    <w:rsid w:val="002078D5"/>
    <w:rsid w:val="00210376"/>
    <w:rsid w:val="0021069B"/>
    <w:rsid w:val="00210E1C"/>
    <w:rsid w:val="002115E6"/>
    <w:rsid w:val="002117AE"/>
    <w:rsid w:val="00211D2A"/>
    <w:rsid w:val="00211D73"/>
    <w:rsid w:val="0021286A"/>
    <w:rsid w:val="00213459"/>
    <w:rsid w:val="00213541"/>
    <w:rsid w:val="00213ABC"/>
    <w:rsid w:val="002141E8"/>
    <w:rsid w:val="0021511B"/>
    <w:rsid w:val="00215204"/>
    <w:rsid w:val="00217C3B"/>
    <w:rsid w:val="00217FF8"/>
    <w:rsid w:val="00221323"/>
    <w:rsid w:val="002219FB"/>
    <w:rsid w:val="00221B54"/>
    <w:rsid w:val="00221E67"/>
    <w:rsid w:val="00222116"/>
    <w:rsid w:val="002228B7"/>
    <w:rsid w:val="002228BE"/>
    <w:rsid w:val="00222D2E"/>
    <w:rsid w:val="00222F04"/>
    <w:rsid w:val="0022327A"/>
    <w:rsid w:val="00223EEE"/>
    <w:rsid w:val="00224423"/>
    <w:rsid w:val="00224FA8"/>
    <w:rsid w:val="0022509F"/>
    <w:rsid w:val="00225C00"/>
    <w:rsid w:val="00227A6A"/>
    <w:rsid w:val="0023014F"/>
    <w:rsid w:val="00230679"/>
    <w:rsid w:val="0023098B"/>
    <w:rsid w:val="0023107F"/>
    <w:rsid w:val="00232238"/>
    <w:rsid w:val="0023234C"/>
    <w:rsid w:val="00232451"/>
    <w:rsid w:val="00232640"/>
    <w:rsid w:val="00233EF5"/>
    <w:rsid w:val="00234099"/>
    <w:rsid w:val="002347CD"/>
    <w:rsid w:val="00234B89"/>
    <w:rsid w:val="00235E7D"/>
    <w:rsid w:val="00235FA3"/>
    <w:rsid w:val="002360D7"/>
    <w:rsid w:val="002369B0"/>
    <w:rsid w:val="00236A09"/>
    <w:rsid w:val="002372AD"/>
    <w:rsid w:val="00237B1A"/>
    <w:rsid w:val="00237E31"/>
    <w:rsid w:val="00237F96"/>
    <w:rsid w:val="002405B0"/>
    <w:rsid w:val="002410B0"/>
    <w:rsid w:val="00241218"/>
    <w:rsid w:val="002416C7"/>
    <w:rsid w:val="00241C55"/>
    <w:rsid w:val="00241F6F"/>
    <w:rsid w:val="00241FD6"/>
    <w:rsid w:val="002426EC"/>
    <w:rsid w:val="00243748"/>
    <w:rsid w:val="0024391E"/>
    <w:rsid w:val="002447F4"/>
    <w:rsid w:val="0024510E"/>
    <w:rsid w:val="00245414"/>
    <w:rsid w:val="0024622D"/>
    <w:rsid w:val="0024662B"/>
    <w:rsid w:val="002508C3"/>
    <w:rsid w:val="002511A3"/>
    <w:rsid w:val="002531D0"/>
    <w:rsid w:val="00253DAA"/>
    <w:rsid w:val="00253EA1"/>
    <w:rsid w:val="00254384"/>
    <w:rsid w:val="0025470A"/>
    <w:rsid w:val="002547F1"/>
    <w:rsid w:val="00254938"/>
    <w:rsid w:val="00254F25"/>
    <w:rsid w:val="0025569F"/>
    <w:rsid w:val="00255A22"/>
    <w:rsid w:val="00255B6E"/>
    <w:rsid w:val="00255E65"/>
    <w:rsid w:val="00255FB5"/>
    <w:rsid w:val="00256937"/>
    <w:rsid w:val="00257207"/>
    <w:rsid w:val="0025757D"/>
    <w:rsid w:val="00257656"/>
    <w:rsid w:val="00257C51"/>
    <w:rsid w:val="00260259"/>
    <w:rsid w:val="0026069A"/>
    <w:rsid w:val="00260706"/>
    <w:rsid w:val="00261452"/>
    <w:rsid w:val="002617C2"/>
    <w:rsid w:val="002618E0"/>
    <w:rsid w:val="00261BA0"/>
    <w:rsid w:val="00262AF8"/>
    <w:rsid w:val="00263E6C"/>
    <w:rsid w:val="00264511"/>
    <w:rsid w:val="0026468A"/>
    <w:rsid w:val="00264E93"/>
    <w:rsid w:val="002659AD"/>
    <w:rsid w:val="00266344"/>
    <w:rsid w:val="0026729C"/>
    <w:rsid w:val="00267608"/>
    <w:rsid w:val="002678BE"/>
    <w:rsid w:val="00267E54"/>
    <w:rsid w:val="0027040E"/>
    <w:rsid w:val="00270727"/>
    <w:rsid w:val="00270A85"/>
    <w:rsid w:val="00270D45"/>
    <w:rsid w:val="002710FB"/>
    <w:rsid w:val="00271384"/>
    <w:rsid w:val="0027157F"/>
    <w:rsid w:val="00271997"/>
    <w:rsid w:val="00271A90"/>
    <w:rsid w:val="00271C3B"/>
    <w:rsid w:val="00271E0C"/>
    <w:rsid w:val="002725FC"/>
    <w:rsid w:val="00272797"/>
    <w:rsid w:val="002739D6"/>
    <w:rsid w:val="00273A2F"/>
    <w:rsid w:val="0027405C"/>
    <w:rsid w:val="0027409C"/>
    <w:rsid w:val="00274255"/>
    <w:rsid w:val="00274BB7"/>
    <w:rsid w:val="00274E81"/>
    <w:rsid w:val="00274F04"/>
    <w:rsid w:val="0027510F"/>
    <w:rsid w:val="00276772"/>
    <w:rsid w:val="002767D2"/>
    <w:rsid w:val="00277528"/>
    <w:rsid w:val="00277872"/>
    <w:rsid w:val="002805AD"/>
    <w:rsid w:val="002810B5"/>
    <w:rsid w:val="002821D2"/>
    <w:rsid w:val="00282836"/>
    <w:rsid w:val="00282853"/>
    <w:rsid w:val="002833DB"/>
    <w:rsid w:val="0028353B"/>
    <w:rsid w:val="002844E3"/>
    <w:rsid w:val="002847C3"/>
    <w:rsid w:val="002847DC"/>
    <w:rsid w:val="00284904"/>
    <w:rsid w:val="00284986"/>
    <w:rsid w:val="00284C02"/>
    <w:rsid w:val="0028523B"/>
    <w:rsid w:val="002854B9"/>
    <w:rsid w:val="00285CAA"/>
    <w:rsid w:val="00285EE9"/>
    <w:rsid w:val="00285FEF"/>
    <w:rsid w:val="0028689F"/>
    <w:rsid w:val="00286A04"/>
    <w:rsid w:val="002904C4"/>
    <w:rsid w:val="002907F7"/>
    <w:rsid w:val="00290DEB"/>
    <w:rsid w:val="00290FB4"/>
    <w:rsid w:val="0029146B"/>
    <w:rsid w:val="00291755"/>
    <w:rsid w:val="00291D14"/>
    <w:rsid w:val="002923EA"/>
    <w:rsid w:val="00292AA5"/>
    <w:rsid w:val="0029395D"/>
    <w:rsid w:val="00293E61"/>
    <w:rsid w:val="002942FB"/>
    <w:rsid w:val="002943C9"/>
    <w:rsid w:val="00295B77"/>
    <w:rsid w:val="00295DA5"/>
    <w:rsid w:val="00295E14"/>
    <w:rsid w:val="00296180"/>
    <w:rsid w:val="0029652D"/>
    <w:rsid w:val="002968AD"/>
    <w:rsid w:val="00296EC7"/>
    <w:rsid w:val="00297B2B"/>
    <w:rsid w:val="002A03E6"/>
    <w:rsid w:val="002A0635"/>
    <w:rsid w:val="002A0F95"/>
    <w:rsid w:val="002A1629"/>
    <w:rsid w:val="002A1C41"/>
    <w:rsid w:val="002A27A8"/>
    <w:rsid w:val="002A2FB6"/>
    <w:rsid w:val="002A31CB"/>
    <w:rsid w:val="002A4234"/>
    <w:rsid w:val="002A4FAB"/>
    <w:rsid w:val="002A5BBB"/>
    <w:rsid w:val="002A6872"/>
    <w:rsid w:val="002A6ED2"/>
    <w:rsid w:val="002A7210"/>
    <w:rsid w:val="002A7889"/>
    <w:rsid w:val="002A7FCA"/>
    <w:rsid w:val="002B015B"/>
    <w:rsid w:val="002B0EA6"/>
    <w:rsid w:val="002B129B"/>
    <w:rsid w:val="002B1A9B"/>
    <w:rsid w:val="002B1CE2"/>
    <w:rsid w:val="002B2D49"/>
    <w:rsid w:val="002B2F8A"/>
    <w:rsid w:val="002B3D6E"/>
    <w:rsid w:val="002B3D74"/>
    <w:rsid w:val="002B40B7"/>
    <w:rsid w:val="002B4B14"/>
    <w:rsid w:val="002B4B1B"/>
    <w:rsid w:val="002B4D20"/>
    <w:rsid w:val="002B5B6A"/>
    <w:rsid w:val="002B644A"/>
    <w:rsid w:val="002B65E9"/>
    <w:rsid w:val="002C037D"/>
    <w:rsid w:val="002C0B87"/>
    <w:rsid w:val="002C0CE7"/>
    <w:rsid w:val="002C0EFF"/>
    <w:rsid w:val="002C2866"/>
    <w:rsid w:val="002C2BAC"/>
    <w:rsid w:val="002C2FCB"/>
    <w:rsid w:val="002C3CA6"/>
    <w:rsid w:val="002C3E02"/>
    <w:rsid w:val="002C59F7"/>
    <w:rsid w:val="002C6AC5"/>
    <w:rsid w:val="002C6F02"/>
    <w:rsid w:val="002C75AB"/>
    <w:rsid w:val="002C7CCF"/>
    <w:rsid w:val="002C7D30"/>
    <w:rsid w:val="002D01EF"/>
    <w:rsid w:val="002D0452"/>
    <w:rsid w:val="002D098A"/>
    <w:rsid w:val="002D0F80"/>
    <w:rsid w:val="002D1249"/>
    <w:rsid w:val="002D1CD5"/>
    <w:rsid w:val="002D276E"/>
    <w:rsid w:val="002D2B0F"/>
    <w:rsid w:val="002D2B67"/>
    <w:rsid w:val="002D52AF"/>
    <w:rsid w:val="002D53BB"/>
    <w:rsid w:val="002D696F"/>
    <w:rsid w:val="002D6A1C"/>
    <w:rsid w:val="002D6D44"/>
    <w:rsid w:val="002D7328"/>
    <w:rsid w:val="002D73F5"/>
    <w:rsid w:val="002D7AA7"/>
    <w:rsid w:val="002E08BB"/>
    <w:rsid w:val="002E0A8A"/>
    <w:rsid w:val="002E1EEA"/>
    <w:rsid w:val="002E2E52"/>
    <w:rsid w:val="002E3195"/>
    <w:rsid w:val="002E3754"/>
    <w:rsid w:val="002E3938"/>
    <w:rsid w:val="002E4A0C"/>
    <w:rsid w:val="002E5054"/>
    <w:rsid w:val="002E600B"/>
    <w:rsid w:val="002E61A4"/>
    <w:rsid w:val="002E62B1"/>
    <w:rsid w:val="002E63AF"/>
    <w:rsid w:val="002E658A"/>
    <w:rsid w:val="002E6FD3"/>
    <w:rsid w:val="002E75E9"/>
    <w:rsid w:val="002E7813"/>
    <w:rsid w:val="002F0896"/>
    <w:rsid w:val="002F1433"/>
    <w:rsid w:val="002F1C9B"/>
    <w:rsid w:val="002F2FE6"/>
    <w:rsid w:val="002F3909"/>
    <w:rsid w:val="002F3D34"/>
    <w:rsid w:val="002F3F9F"/>
    <w:rsid w:val="002F440B"/>
    <w:rsid w:val="002F467E"/>
    <w:rsid w:val="002F47B6"/>
    <w:rsid w:val="002F4B92"/>
    <w:rsid w:val="002F5469"/>
    <w:rsid w:val="002F55A9"/>
    <w:rsid w:val="002F5653"/>
    <w:rsid w:val="002F6047"/>
    <w:rsid w:val="002F6BC4"/>
    <w:rsid w:val="002F79F3"/>
    <w:rsid w:val="002F7EAA"/>
    <w:rsid w:val="00301735"/>
    <w:rsid w:val="003019C3"/>
    <w:rsid w:val="00302723"/>
    <w:rsid w:val="0030277A"/>
    <w:rsid w:val="00302854"/>
    <w:rsid w:val="00302EC6"/>
    <w:rsid w:val="003031B2"/>
    <w:rsid w:val="00303945"/>
    <w:rsid w:val="00303E9D"/>
    <w:rsid w:val="0030483F"/>
    <w:rsid w:val="003058A1"/>
    <w:rsid w:val="00306E07"/>
    <w:rsid w:val="00307C8F"/>
    <w:rsid w:val="0031012F"/>
    <w:rsid w:val="003109A7"/>
    <w:rsid w:val="00311035"/>
    <w:rsid w:val="00311403"/>
    <w:rsid w:val="003125D4"/>
    <w:rsid w:val="00312A34"/>
    <w:rsid w:val="003134A3"/>
    <w:rsid w:val="0031429E"/>
    <w:rsid w:val="00314722"/>
    <w:rsid w:val="0031499B"/>
    <w:rsid w:val="00314AB7"/>
    <w:rsid w:val="003157F2"/>
    <w:rsid w:val="00315925"/>
    <w:rsid w:val="003160C0"/>
    <w:rsid w:val="00316254"/>
    <w:rsid w:val="0031628A"/>
    <w:rsid w:val="0031774A"/>
    <w:rsid w:val="00317A7C"/>
    <w:rsid w:val="00317DC8"/>
    <w:rsid w:val="00320385"/>
    <w:rsid w:val="0032048F"/>
    <w:rsid w:val="00320CF5"/>
    <w:rsid w:val="003222D1"/>
    <w:rsid w:val="0032315E"/>
    <w:rsid w:val="0032335E"/>
    <w:rsid w:val="0032373B"/>
    <w:rsid w:val="003237F4"/>
    <w:rsid w:val="00323C5A"/>
    <w:rsid w:val="00323EB0"/>
    <w:rsid w:val="003240B1"/>
    <w:rsid w:val="0032423F"/>
    <w:rsid w:val="00324390"/>
    <w:rsid w:val="00325172"/>
    <w:rsid w:val="00325994"/>
    <w:rsid w:val="00325B31"/>
    <w:rsid w:val="003262ED"/>
    <w:rsid w:val="0032646D"/>
    <w:rsid w:val="00326DC0"/>
    <w:rsid w:val="00326EB1"/>
    <w:rsid w:val="00327110"/>
    <w:rsid w:val="00327868"/>
    <w:rsid w:val="00330561"/>
    <w:rsid w:val="0033057A"/>
    <w:rsid w:val="00330912"/>
    <w:rsid w:val="003315C3"/>
    <w:rsid w:val="003316BD"/>
    <w:rsid w:val="00331859"/>
    <w:rsid w:val="00331B49"/>
    <w:rsid w:val="00331FB6"/>
    <w:rsid w:val="0033277F"/>
    <w:rsid w:val="003327B6"/>
    <w:rsid w:val="00332908"/>
    <w:rsid w:val="00332BFA"/>
    <w:rsid w:val="00332DD8"/>
    <w:rsid w:val="0033346E"/>
    <w:rsid w:val="00333845"/>
    <w:rsid w:val="00333EBE"/>
    <w:rsid w:val="00334230"/>
    <w:rsid w:val="0033435A"/>
    <w:rsid w:val="00334416"/>
    <w:rsid w:val="0033483B"/>
    <w:rsid w:val="00335B44"/>
    <w:rsid w:val="00335CAF"/>
    <w:rsid w:val="00335D0E"/>
    <w:rsid w:val="003364FC"/>
    <w:rsid w:val="00336549"/>
    <w:rsid w:val="003369D9"/>
    <w:rsid w:val="00337F2C"/>
    <w:rsid w:val="00340FB8"/>
    <w:rsid w:val="00341074"/>
    <w:rsid w:val="003416CD"/>
    <w:rsid w:val="0034170A"/>
    <w:rsid w:val="00341C77"/>
    <w:rsid w:val="00341CBA"/>
    <w:rsid w:val="00342401"/>
    <w:rsid w:val="00342605"/>
    <w:rsid w:val="00343042"/>
    <w:rsid w:val="00343F0B"/>
    <w:rsid w:val="00345027"/>
    <w:rsid w:val="003452F4"/>
    <w:rsid w:val="00345569"/>
    <w:rsid w:val="00345DB0"/>
    <w:rsid w:val="0034656E"/>
    <w:rsid w:val="003472D9"/>
    <w:rsid w:val="00347F6E"/>
    <w:rsid w:val="00351615"/>
    <w:rsid w:val="00351EC0"/>
    <w:rsid w:val="00351F70"/>
    <w:rsid w:val="00352101"/>
    <w:rsid w:val="00352287"/>
    <w:rsid w:val="0035235A"/>
    <w:rsid w:val="0035235B"/>
    <w:rsid w:val="003529A0"/>
    <w:rsid w:val="00353180"/>
    <w:rsid w:val="00354C0B"/>
    <w:rsid w:val="003550F1"/>
    <w:rsid w:val="0035530C"/>
    <w:rsid w:val="00355A87"/>
    <w:rsid w:val="00355B3E"/>
    <w:rsid w:val="00355F80"/>
    <w:rsid w:val="0035690A"/>
    <w:rsid w:val="00356AE1"/>
    <w:rsid w:val="00356C99"/>
    <w:rsid w:val="0035751D"/>
    <w:rsid w:val="0035787A"/>
    <w:rsid w:val="00360C72"/>
    <w:rsid w:val="0036148B"/>
    <w:rsid w:val="003615CC"/>
    <w:rsid w:val="00362208"/>
    <w:rsid w:val="003623E7"/>
    <w:rsid w:val="00362702"/>
    <w:rsid w:val="0036284F"/>
    <w:rsid w:val="00362C1F"/>
    <w:rsid w:val="003634E4"/>
    <w:rsid w:val="00363851"/>
    <w:rsid w:val="00363E08"/>
    <w:rsid w:val="0036413D"/>
    <w:rsid w:val="00366800"/>
    <w:rsid w:val="00366BFF"/>
    <w:rsid w:val="003670B8"/>
    <w:rsid w:val="0036731D"/>
    <w:rsid w:val="00367AE0"/>
    <w:rsid w:val="00367B7D"/>
    <w:rsid w:val="00367E6C"/>
    <w:rsid w:val="00367F7E"/>
    <w:rsid w:val="003705B5"/>
    <w:rsid w:val="00370A7E"/>
    <w:rsid w:val="00371A2C"/>
    <w:rsid w:val="00371D18"/>
    <w:rsid w:val="0037228A"/>
    <w:rsid w:val="003728B3"/>
    <w:rsid w:val="00372B73"/>
    <w:rsid w:val="00372D1C"/>
    <w:rsid w:val="00372D90"/>
    <w:rsid w:val="0037329F"/>
    <w:rsid w:val="0037347A"/>
    <w:rsid w:val="00373495"/>
    <w:rsid w:val="0037359B"/>
    <w:rsid w:val="00373A42"/>
    <w:rsid w:val="00373B19"/>
    <w:rsid w:val="00373C0A"/>
    <w:rsid w:val="00374E19"/>
    <w:rsid w:val="00375696"/>
    <w:rsid w:val="003761E1"/>
    <w:rsid w:val="00376D61"/>
    <w:rsid w:val="00376FDA"/>
    <w:rsid w:val="00377098"/>
    <w:rsid w:val="003773AC"/>
    <w:rsid w:val="0037797D"/>
    <w:rsid w:val="00380071"/>
    <w:rsid w:val="00380210"/>
    <w:rsid w:val="00380885"/>
    <w:rsid w:val="00380AA3"/>
    <w:rsid w:val="00380BD0"/>
    <w:rsid w:val="00381047"/>
    <w:rsid w:val="00381FF0"/>
    <w:rsid w:val="00382085"/>
    <w:rsid w:val="0038328C"/>
    <w:rsid w:val="003833B6"/>
    <w:rsid w:val="003838C6"/>
    <w:rsid w:val="00384B14"/>
    <w:rsid w:val="00384B7F"/>
    <w:rsid w:val="00384DE7"/>
    <w:rsid w:val="003867E9"/>
    <w:rsid w:val="00386AC6"/>
    <w:rsid w:val="00386AE4"/>
    <w:rsid w:val="00387077"/>
    <w:rsid w:val="00387103"/>
    <w:rsid w:val="0038795A"/>
    <w:rsid w:val="00390B1A"/>
    <w:rsid w:val="00390DD0"/>
    <w:rsid w:val="00390E92"/>
    <w:rsid w:val="0039106C"/>
    <w:rsid w:val="00391438"/>
    <w:rsid w:val="0039187B"/>
    <w:rsid w:val="003923A2"/>
    <w:rsid w:val="0039273D"/>
    <w:rsid w:val="00392DB8"/>
    <w:rsid w:val="00393516"/>
    <w:rsid w:val="0039370C"/>
    <w:rsid w:val="0039373C"/>
    <w:rsid w:val="003940BB"/>
    <w:rsid w:val="00395292"/>
    <w:rsid w:val="00395684"/>
    <w:rsid w:val="0039765A"/>
    <w:rsid w:val="00397C50"/>
    <w:rsid w:val="003A0B0E"/>
    <w:rsid w:val="003A13BE"/>
    <w:rsid w:val="003A153F"/>
    <w:rsid w:val="003A17CC"/>
    <w:rsid w:val="003A17FE"/>
    <w:rsid w:val="003A18CE"/>
    <w:rsid w:val="003A1EF7"/>
    <w:rsid w:val="003A25B9"/>
    <w:rsid w:val="003A2F5A"/>
    <w:rsid w:val="003A3009"/>
    <w:rsid w:val="003A330F"/>
    <w:rsid w:val="003A375B"/>
    <w:rsid w:val="003A3CF5"/>
    <w:rsid w:val="003A4860"/>
    <w:rsid w:val="003A4C31"/>
    <w:rsid w:val="003A4FFF"/>
    <w:rsid w:val="003A5606"/>
    <w:rsid w:val="003A5B29"/>
    <w:rsid w:val="003A6043"/>
    <w:rsid w:val="003A6A30"/>
    <w:rsid w:val="003A6A82"/>
    <w:rsid w:val="003A6F1B"/>
    <w:rsid w:val="003A6F44"/>
    <w:rsid w:val="003A6FB5"/>
    <w:rsid w:val="003B01B5"/>
    <w:rsid w:val="003B0457"/>
    <w:rsid w:val="003B0557"/>
    <w:rsid w:val="003B0830"/>
    <w:rsid w:val="003B0BCF"/>
    <w:rsid w:val="003B0D65"/>
    <w:rsid w:val="003B14A0"/>
    <w:rsid w:val="003B189E"/>
    <w:rsid w:val="003B1D74"/>
    <w:rsid w:val="003B2052"/>
    <w:rsid w:val="003B206D"/>
    <w:rsid w:val="003B25D7"/>
    <w:rsid w:val="003B273D"/>
    <w:rsid w:val="003B2926"/>
    <w:rsid w:val="003B325B"/>
    <w:rsid w:val="003B3A18"/>
    <w:rsid w:val="003B4535"/>
    <w:rsid w:val="003B4876"/>
    <w:rsid w:val="003B525C"/>
    <w:rsid w:val="003B594E"/>
    <w:rsid w:val="003B5B81"/>
    <w:rsid w:val="003B5B8C"/>
    <w:rsid w:val="003B7AF7"/>
    <w:rsid w:val="003B7FEA"/>
    <w:rsid w:val="003C0158"/>
    <w:rsid w:val="003C0B2A"/>
    <w:rsid w:val="003C15E5"/>
    <w:rsid w:val="003C1BF6"/>
    <w:rsid w:val="003C2382"/>
    <w:rsid w:val="003C26DD"/>
    <w:rsid w:val="003C3551"/>
    <w:rsid w:val="003C3806"/>
    <w:rsid w:val="003C3B12"/>
    <w:rsid w:val="003C3BBC"/>
    <w:rsid w:val="003C3D16"/>
    <w:rsid w:val="003C429C"/>
    <w:rsid w:val="003C50E4"/>
    <w:rsid w:val="003C5310"/>
    <w:rsid w:val="003C5C90"/>
    <w:rsid w:val="003C5D46"/>
    <w:rsid w:val="003C680B"/>
    <w:rsid w:val="003C6822"/>
    <w:rsid w:val="003C6C42"/>
    <w:rsid w:val="003C71A9"/>
    <w:rsid w:val="003C79F1"/>
    <w:rsid w:val="003D0590"/>
    <w:rsid w:val="003D1FBB"/>
    <w:rsid w:val="003D2177"/>
    <w:rsid w:val="003D24B9"/>
    <w:rsid w:val="003D303A"/>
    <w:rsid w:val="003D3C97"/>
    <w:rsid w:val="003D49E3"/>
    <w:rsid w:val="003D5BF6"/>
    <w:rsid w:val="003D5D44"/>
    <w:rsid w:val="003D6793"/>
    <w:rsid w:val="003D6882"/>
    <w:rsid w:val="003D6A2E"/>
    <w:rsid w:val="003D6E1D"/>
    <w:rsid w:val="003D70B0"/>
    <w:rsid w:val="003E0924"/>
    <w:rsid w:val="003E0A23"/>
    <w:rsid w:val="003E0F42"/>
    <w:rsid w:val="003E1AFC"/>
    <w:rsid w:val="003E20E7"/>
    <w:rsid w:val="003E262E"/>
    <w:rsid w:val="003E2E2D"/>
    <w:rsid w:val="003E30BB"/>
    <w:rsid w:val="003E3195"/>
    <w:rsid w:val="003E3B90"/>
    <w:rsid w:val="003E3F86"/>
    <w:rsid w:val="003E41F6"/>
    <w:rsid w:val="003E48E7"/>
    <w:rsid w:val="003E5519"/>
    <w:rsid w:val="003E5B31"/>
    <w:rsid w:val="003E5CB6"/>
    <w:rsid w:val="003E5E1B"/>
    <w:rsid w:val="003E5EA8"/>
    <w:rsid w:val="003E6E01"/>
    <w:rsid w:val="003E7552"/>
    <w:rsid w:val="003E7763"/>
    <w:rsid w:val="003E78AA"/>
    <w:rsid w:val="003F004D"/>
    <w:rsid w:val="003F0317"/>
    <w:rsid w:val="003F0F27"/>
    <w:rsid w:val="003F1CA7"/>
    <w:rsid w:val="003F210A"/>
    <w:rsid w:val="003F2490"/>
    <w:rsid w:val="003F32EA"/>
    <w:rsid w:val="003F423F"/>
    <w:rsid w:val="003F5203"/>
    <w:rsid w:val="003F53BB"/>
    <w:rsid w:val="003F53BC"/>
    <w:rsid w:val="003F5444"/>
    <w:rsid w:val="003F5EB8"/>
    <w:rsid w:val="003F638B"/>
    <w:rsid w:val="003F6398"/>
    <w:rsid w:val="003F7075"/>
    <w:rsid w:val="003F7085"/>
    <w:rsid w:val="003F7E04"/>
    <w:rsid w:val="00400683"/>
    <w:rsid w:val="004012DD"/>
    <w:rsid w:val="00402798"/>
    <w:rsid w:val="00403087"/>
    <w:rsid w:val="004031AE"/>
    <w:rsid w:val="00403985"/>
    <w:rsid w:val="00403D53"/>
    <w:rsid w:val="00403F9E"/>
    <w:rsid w:val="004048DF"/>
    <w:rsid w:val="00406007"/>
    <w:rsid w:val="00406297"/>
    <w:rsid w:val="00406F98"/>
    <w:rsid w:val="004070B3"/>
    <w:rsid w:val="0040731B"/>
    <w:rsid w:val="00407651"/>
    <w:rsid w:val="00407936"/>
    <w:rsid w:val="00407B8B"/>
    <w:rsid w:val="00410ACA"/>
    <w:rsid w:val="00410C46"/>
    <w:rsid w:val="004122AA"/>
    <w:rsid w:val="004123B2"/>
    <w:rsid w:val="004123FA"/>
    <w:rsid w:val="004127D8"/>
    <w:rsid w:val="00412EC4"/>
    <w:rsid w:val="0041301F"/>
    <w:rsid w:val="00413303"/>
    <w:rsid w:val="0041337C"/>
    <w:rsid w:val="00413500"/>
    <w:rsid w:val="00413534"/>
    <w:rsid w:val="00413A1F"/>
    <w:rsid w:val="00413D63"/>
    <w:rsid w:val="00414403"/>
    <w:rsid w:val="00415C11"/>
    <w:rsid w:val="00415D94"/>
    <w:rsid w:val="00416149"/>
    <w:rsid w:val="0041755E"/>
    <w:rsid w:val="00417A71"/>
    <w:rsid w:val="00417A83"/>
    <w:rsid w:val="004204F3"/>
    <w:rsid w:val="0042051F"/>
    <w:rsid w:val="00420B0D"/>
    <w:rsid w:val="00420E81"/>
    <w:rsid w:val="004219B8"/>
    <w:rsid w:val="004219FD"/>
    <w:rsid w:val="00421AD4"/>
    <w:rsid w:val="00421DDA"/>
    <w:rsid w:val="004225BB"/>
    <w:rsid w:val="00422A48"/>
    <w:rsid w:val="00422AFD"/>
    <w:rsid w:val="00424420"/>
    <w:rsid w:val="0042460D"/>
    <w:rsid w:val="00424781"/>
    <w:rsid w:val="00424918"/>
    <w:rsid w:val="00424A3A"/>
    <w:rsid w:val="00424DF9"/>
    <w:rsid w:val="0042507B"/>
    <w:rsid w:val="00425DE6"/>
    <w:rsid w:val="0042650D"/>
    <w:rsid w:val="0042666D"/>
    <w:rsid w:val="00426CF8"/>
    <w:rsid w:val="00427138"/>
    <w:rsid w:val="00427744"/>
    <w:rsid w:val="00427D79"/>
    <w:rsid w:val="00430A85"/>
    <w:rsid w:val="00430B11"/>
    <w:rsid w:val="00431504"/>
    <w:rsid w:val="004321D5"/>
    <w:rsid w:val="0043250F"/>
    <w:rsid w:val="00432A40"/>
    <w:rsid w:val="00432FC6"/>
    <w:rsid w:val="004330AB"/>
    <w:rsid w:val="00433E3D"/>
    <w:rsid w:val="0043450C"/>
    <w:rsid w:val="00434615"/>
    <w:rsid w:val="0043470D"/>
    <w:rsid w:val="00434A66"/>
    <w:rsid w:val="004354DB"/>
    <w:rsid w:val="0044065F"/>
    <w:rsid w:val="0044066E"/>
    <w:rsid w:val="004407BF"/>
    <w:rsid w:val="00441860"/>
    <w:rsid w:val="00441C8C"/>
    <w:rsid w:val="00443277"/>
    <w:rsid w:val="00443582"/>
    <w:rsid w:val="00444759"/>
    <w:rsid w:val="0044491F"/>
    <w:rsid w:val="00445F1B"/>
    <w:rsid w:val="004467E8"/>
    <w:rsid w:val="00446857"/>
    <w:rsid w:val="004468EB"/>
    <w:rsid w:val="00446F19"/>
    <w:rsid w:val="0044740D"/>
    <w:rsid w:val="0044765D"/>
    <w:rsid w:val="0045009B"/>
    <w:rsid w:val="0045017A"/>
    <w:rsid w:val="0045085E"/>
    <w:rsid w:val="00451313"/>
    <w:rsid w:val="004513D2"/>
    <w:rsid w:val="0045249A"/>
    <w:rsid w:val="004539B5"/>
    <w:rsid w:val="00453C1D"/>
    <w:rsid w:val="00453DCE"/>
    <w:rsid w:val="004547A3"/>
    <w:rsid w:val="004548F1"/>
    <w:rsid w:val="00455287"/>
    <w:rsid w:val="00455B2E"/>
    <w:rsid w:val="004560C2"/>
    <w:rsid w:val="004564BD"/>
    <w:rsid w:val="004564EB"/>
    <w:rsid w:val="0045685D"/>
    <w:rsid w:val="00456AC6"/>
    <w:rsid w:val="00456C64"/>
    <w:rsid w:val="00457054"/>
    <w:rsid w:val="00457C17"/>
    <w:rsid w:val="00457EBA"/>
    <w:rsid w:val="0046045C"/>
    <w:rsid w:val="00460BE4"/>
    <w:rsid w:val="004624B2"/>
    <w:rsid w:val="00462764"/>
    <w:rsid w:val="00462A02"/>
    <w:rsid w:val="00462AEF"/>
    <w:rsid w:val="00462E01"/>
    <w:rsid w:val="00463145"/>
    <w:rsid w:val="004637FD"/>
    <w:rsid w:val="00463B4F"/>
    <w:rsid w:val="00464014"/>
    <w:rsid w:val="00464612"/>
    <w:rsid w:val="00464656"/>
    <w:rsid w:val="00464E46"/>
    <w:rsid w:val="00464F62"/>
    <w:rsid w:val="004653CA"/>
    <w:rsid w:val="00465896"/>
    <w:rsid w:val="00465D01"/>
    <w:rsid w:val="00466811"/>
    <w:rsid w:val="0046775F"/>
    <w:rsid w:val="004679BA"/>
    <w:rsid w:val="00467AE6"/>
    <w:rsid w:val="00470368"/>
    <w:rsid w:val="004706BC"/>
    <w:rsid w:val="00470C75"/>
    <w:rsid w:val="00470F47"/>
    <w:rsid w:val="004712F4"/>
    <w:rsid w:val="004715F6"/>
    <w:rsid w:val="0047187A"/>
    <w:rsid w:val="00471CEA"/>
    <w:rsid w:val="00471D59"/>
    <w:rsid w:val="004726BC"/>
    <w:rsid w:val="0047309F"/>
    <w:rsid w:val="004737AA"/>
    <w:rsid w:val="00473B1C"/>
    <w:rsid w:val="00474D2A"/>
    <w:rsid w:val="00475978"/>
    <w:rsid w:val="00476424"/>
    <w:rsid w:val="00476700"/>
    <w:rsid w:val="00480096"/>
    <w:rsid w:val="004822E8"/>
    <w:rsid w:val="00482472"/>
    <w:rsid w:val="00482E79"/>
    <w:rsid w:val="00483890"/>
    <w:rsid w:val="0048401A"/>
    <w:rsid w:val="00484428"/>
    <w:rsid w:val="00484AEA"/>
    <w:rsid w:val="00484B4C"/>
    <w:rsid w:val="00484C15"/>
    <w:rsid w:val="00484D60"/>
    <w:rsid w:val="004852DB"/>
    <w:rsid w:val="00486F90"/>
    <w:rsid w:val="00487B91"/>
    <w:rsid w:val="00490393"/>
    <w:rsid w:val="00490958"/>
    <w:rsid w:val="00490B05"/>
    <w:rsid w:val="004916C5"/>
    <w:rsid w:val="00492733"/>
    <w:rsid w:val="00492DF7"/>
    <w:rsid w:val="00492EE3"/>
    <w:rsid w:val="00493141"/>
    <w:rsid w:val="0049337E"/>
    <w:rsid w:val="004937AD"/>
    <w:rsid w:val="00493D65"/>
    <w:rsid w:val="00493D8F"/>
    <w:rsid w:val="00493DE0"/>
    <w:rsid w:val="00494501"/>
    <w:rsid w:val="00495478"/>
    <w:rsid w:val="00495BB5"/>
    <w:rsid w:val="00495E91"/>
    <w:rsid w:val="004967D7"/>
    <w:rsid w:val="00496E0D"/>
    <w:rsid w:val="0049771F"/>
    <w:rsid w:val="00497981"/>
    <w:rsid w:val="004A03B7"/>
    <w:rsid w:val="004A0442"/>
    <w:rsid w:val="004A06D4"/>
    <w:rsid w:val="004A084A"/>
    <w:rsid w:val="004A0F71"/>
    <w:rsid w:val="004A107F"/>
    <w:rsid w:val="004A23BB"/>
    <w:rsid w:val="004A2D5B"/>
    <w:rsid w:val="004A2E10"/>
    <w:rsid w:val="004A2FD9"/>
    <w:rsid w:val="004A374A"/>
    <w:rsid w:val="004A392E"/>
    <w:rsid w:val="004A551B"/>
    <w:rsid w:val="004A5748"/>
    <w:rsid w:val="004A67E3"/>
    <w:rsid w:val="004A711A"/>
    <w:rsid w:val="004A7766"/>
    <w:rsid w:val="004A7A56"/>
    <w:rsid w:val="004A7C39"/>
    <w:rsid w:val="004A7C5E"/>
    <w:rsid w:val="004A7D72"/>
    <w:rsid w:val="004B07AB"/>
    <w:rsid w:val="004B11D9"/>
    <w:rsid w:val="004B26AA"/>
    <w:rsid w:val="004B270F"/>
    <w:rsid w:val="004B28C3"/>
    <w:rsid w:val="004B2E0A"/>
    <w:rsid w:val="004B32DE"/>
    <w:rsid w:val="004B3538"/>
    <w:rsid w:val="004B3567"/>
    <w:rsid w:val="004B3CB9"/>
    <w:rsid w:val="004B3EA7"/>
    <w:rsid w:val="004B4D04"/>
    <w:rsid w:val="004B4E99"/>
    <w:rsid w:val="004B4FE4"/>
    <w:rsid w:val="004B50F3"/>
    <w:rsid w:val="004B5FCB"/>
    <w:rsid w:val="004B66C9"/>
    <w:rsid w:val="004B73D4"/>
    <w:rsid w:val="004B74EF"/>
    <w:rsid w:val="004B7689"/>
    <w:rsid w:val="004C016B"/>
    <w:rsid w:val="004C030C"/>
    <w:rsid w:val="004C0626"/>
    <w:rsid w:val="004C0BA8"/>
    <w:rsid w:val="004C0BC7"/>
    <w:rsid w:val="004C0F73"/>
    <w:rsid w:val="004C180F"/>
    <w:rsid w:val="004C1C54"/>
    <w:rsid w:val="004C2187"/>
    <w:rsid w:val="004C2B8B"/>
    <w:rsid w:val="004C382E"/>
    <w:rsid w:val="004C4334"/>
    <w:rsid w:val="004C4854"/>
    <w:rsid w:val="004C5228"/>
    <w:rsid w:val="004C55DF"/>
    <w:rsid w:val="004C59E4"/>
    <w:rsid w:val="004C5DB1"/>
    <w:rsid w:val="004C6554"/>
    <w:rsid w:val="004C6CFB"/>
    <w:rsid w:val="004C7B10"/>
    <w:rsid w:val="004D085E"/>
    <w:rsid w:val="004D0AA4"/>
    <w:rsid w:val="004D0E9E"/>
    <w:rsid w:val="004D0F7A"/>
    <w:rsid w:val="004D12BA"/>
    <w:rsid w:val="004D15E7"/>
    <w:rsid w:val="004D2936"/>
    <w:rsid w:val="004D423B"/>
    <w:rsid w:val="004D4C5A"/>
    <w:rsid w:val="004D5000"/>
    <w:rsid w:val="004D543D"/>
    <w:rsid w:val="004D61A3"/>
    <w:rsid w:val="004D62C6"/>
    <w:rsid w:val="004D69B3"/>
    <w:rsid w:val="004D770C"/>
    <w:rsid w:val="004D7758"/>
    <w:rsid w:val="004D78CB"/>
    <w:rsid w:val="004E0DDD"/>
    <w:rsid w:val="004E1732"/>
    <w:rsid w:val="004E196D"/>
    <w:rsid w:val="004E29D0"/>
    <w:rsid w:val="004E2BFA"/>
    <w:rsid w:val="004E3A13"/>
    <w:rsid w:val="004E3D59"/>
    <w:rsid w:val="004E4054"/>
    <w:rsid w:val="004E4DBD"/>
    <w:rsid w:val="004E4DED"/>
    <w:rsid w:val="004E50F0"/>
    <w:rsid w:val="004E51EA"/>
    <w:rsid w:val="004E54EC"/>
    <w:rsid w:val="004E5ECF"/>
    <w:rsid w:val="004E7139"/>
    <w:rsid w:val="004E7642"/>
    <w:rsid w:val="004E76D1"/>
    <w:rsid w:val="004E7B9F"/>
    <w:rsid w:val="004F097B"/>
    <w:rsid w:val="004F167A"/>
    <w:rsid w:val="004F284D"/>
    <w:rsid w:val="004F2ECD"/>
    <w:rsid w:val="004F3672"/>
    <w:rsid w:val="004F3F5C"/>
    <w:rsid w:val="004F438E"/>
    <w:rsid w:val="004F4428"/>
    <w:rsid w:val="004F463E"/>
    <w:rsid w:val="004F48E0"/>
    <w:rsid w:val="004F4A4E"/>
    <w:rsid w:val="004F50F2"/>
    <w:rsid w:val="004F5913"/>
    <w:rsid w:val="004F5A17"/>
    <w:rsid w:val="004F61D5"/>
    <w:rsid w:val="004F66D5"/>
    <w:rsid w:val="004F6CDB"/>
    <w:rsid w:val="00500B00"/>
    <w:rsid w:val="005019CA"/>
    <w:rsid w:val="00502DE4"/>
    <w:rsid w:val="00503576"/>
    <w:rsid w:val="0050421D"/>
    <w:rsid w:val="00504803"/>
    <w:rsid w:val="00504878"/>
    <w:rsid w:val="00504893"/>
    <w:rsid w:val="005049D6"/>
    <w:rsid w:val="00504BBC"/>
    <w:rsid w:val="00505D39"/>
    <w:rsid w:val="005061FB"/>
    <w:rsid w:val="005064EF"/>
    <w:rsid w:val="005064F4"/>
    <w:rsid w:val="00506803"/>
    <w:rsid w:val="00506F10"/>
    <w:rsid w:val="00506F23"/>
    <w:rsid w:val="005105CC"/>
    <w:rsid w:val="00510A41"/>
    <w:rsid w:val="005111A5"/>
    <w:rsid w:val="00512056"/>
    <w:rsid w:val="00512E97"/>
    <w:rsid w:val="0051319F"/>
    <w:rsid w:val="0051325C"/>
    <w:rsid w:val="00513522"/>
    <w:rsid w:val="00513871"/>
    <w:rsid w:val="00513CEB"/>
    <w:rsid w:val="005142A2"/>
    <w:rsid w:val="005145BA"/>
    <w:rsid w:val="00514762"/>
    <w:rsid w:val="00514971"/>
    <w:rsid w:val="00514B2E"/>
    <w:rsid w:val="0051522A"/>
    <w:rsid w:val="005152A9"/>
    <w:rsid w:val="00515F55"/>
    <w:rsid w:val="005164C5"/>
    <w:rsid w:val="00516770"/>
    <w:rsid w:val="00516DE4"/>
    <w:rsid w:val="00517A8E"/>
    <w:rsid w:val="00517E1A"/>
    <w:rsid w:val="00517F66"/>
    <w:rsid w:val="00517FEB"/>
    <w:rsid w:val="005203CB"/>
    <w:rsid w:val="00520AF7"/>
    <w:rsid w:val="0052106E"/>
    <w:rsid w:val="00521D4B"/>
    <w:rsid w:val="00521DAC"/>
    <w:rsid w:val="00522090"/>
    <w:rsid w:val="005224BB"/>
    <w:rsid w:val="00522DA5"/>
    <w:rsid w:val="00522EDA"/>
    <w:rsid w:val="00522F17"/>
    <w:rsid w:val="00523164"/>
    <w:rsid w:val="00524734"/>
    <w:rsid w:val="00524FA8"/>
    <w:rsid w:val="0052653D"/>
    <w:rsid w:val="00526763"/>
    <w:rsid w:val="005268F1"/>
    <w:rsid w:val="00526A5D"/>
    <w:rsid w:val="00527203"/>
    <w:rsid w:val="00527371"/>
    <w:rsid w:val="00530122"/>
    <w:rsid w:val="005307AC"/>
    <w:rsid w:val="00530FCF"/>
    <w:rsid w:val="005313D8"/>
    <w:rsid w:val="00531B09"/>
    <w:rsid w:val="00531F9B"/>
    <w:rsid w:val="00533ABC"/>
    <w:rsid w:val="00534713"/>
    <w:rsid w:val="00534773"/>
    <w:rsid w:val="005350DA"/>
    <w:rsid w:val="00535BB0"/>
    <w:rsid w:val="0053661C"/>
    <w:rsid w:val="00537237"/>
    <w:rsid w:val="005373D9"/>
    <w:rsid w:val="00537C6D"/>
    <w:rsid w:val="00537FAC"/>
    <w:rsid w:val="00540866"/>
    <w:rsid w:val="00540A4C"/>
    <w:rsid w:val="00540EFB"/>
    <w:rsid w:val="00541295"/>
    <w:rsid w:val="0054296F"/>
    <w:rsid w:val="00542A19"/>
    <w:rsid w:val="00543460"/>
    <w:rsid w:val="00543AF4"/>
    <w:rsid w:val="005441E5"/>
    <w:rsid w:val="005444BC"/>
    <w:rsid w:val="00544836"/>
    <w:rsid w:val="00545561"/>
    <w:rsid w:val="00545A6C"/>
    <w:rsid w:val="00545FD2"/>
    <w:rsid w:val="00546469"/>
    <w:rsid w:val="005468DB"/>
    <w:rsid w:val="00546F6B"/>
    <w:rsid w:val="00547B8F"/>
    <w:rsid w:val="00547F3F"/>
    <w:rsid w:val="00550B29"/>
    <w:rsid w:val="0055123E"/>
    <w:rsid w:val="005513A8"/>
    <w:rsid w:val="0055208D"/>
    <w:rsid w:val="0055295D"/>
    <w:rsid w:val="00552DE8"/>
    <w:rsid w:val="00552DEE"/>
    <w:rsid w:val="005532C8"/>
    <w:rsid w:val="00553B4F"/>
    <w:rsid w:val="0055410A"/>
    <w:rsid w:val="005549F8"/>
    <w:rsid w:val="00554DFF"/>
    <w:rsid w:val="0055540E"/>
    <w:rsid w:val="005556BF"/>
    <w:rsid w:val="0055623F"/>
    <w:rsid w:val="00556452"/>
    <w:rsid w:val="005567A0"/>
    <w:rsid w:val="00556914"/>
    <w:rsid w:val="00556D2F"/>
    <w:rsid w:val="00557165"/>
    <w:rsid w:val="005571BD"/>
    <w:rsid w:val="005574B3"/>
    <w:rsid w:val="0055756B"/>
    <w:rsid w:val="00557C7E"/>
    <w:rsid w:val="00557CEE"/>
    <w:rsid w:val="00560CE3"/>
    <w:rsid w:val="00560D71"/>
    <w:rsid w:val="00561F45"/>
    <w:rsid w:val="00562227"/>
    <w:rsid w:val="005630B5"/>
    <w:rsid w:val="005633B3"/>
    <w:rsid w:val="0056459F"/>
    <w:rsid w:val="005649C1"/>
    <w:rsid w:val="0056516A"/>
    <w:rsid w:val="005655DE"/>
    <w:rsid w:val="005656FB"/>
    <w:rsid w:val="005658ED"/>
    <w:rsid w:val="00565E01"/>
    <w:rsid w:val="00566A50"/>
    <w:rsid w:val="00566BF6"/>
    <w:rsid w:val="005675E4"/>
    <w:rsid w:val="00567793"/>
    <w:rsid w:val="00567C4D"/>
    <w:rsid w:val="005700E6"/>
    <w:rsid w:val="00570135"/>
    <w:rsid w:val="00570313"/>
    <w:rsid w:val="0057032D"/>
    <w:rsid w:val="005708EF"/>
    <w:rsid w:val="0057161C"/>
    <w:rsid w:val="0057181F"/>
    <w:rsid w:val="00571DAE"/>
    <w:rsid w:val="00571F1B"/>
    <w:rsid w:val="00571F67"/>
    <w:rsid w:val="00572089"/>
    <w:rsid w:val="005721D7"/>
    <w:rsid w:val="0057270D"/>
    <w:rsid w:val="00574B4D"/>
    <w:rsid w:val="00574D2A"/>
    <w:rsid w:val="00574E68"/>
    <w:rsid w:val="0057583C"/>
    <w:rsid w:val="00576217"/>
    <w:rsid w:val="005766ED"/>
    <w:rsid w:val="0058011F"/>
    <w:rsid w:val="00580B2F"/>
    <w:rsid w:val="00580F2B"/>
    <w:rsid w:val="00581969"/>
    <w:rsid w:val="00582266"/>
    <w:rsid w:val="0058236A"/>
    <w:rsid w:val="005829A6"/>
    <w:rsid w:val="00583467"/>
    <w:rsid w:val="00584AE7"/>
    <w:rsid w:val="00584C88"/>
    <w:rsid w:val="00584F64"/>
    <w:rsid w:val="00585176"/>
    <w:rsid w:val="00585348"/>
    <w:rsid w:val="005853E8"/>
    <w:rsid w:val="00585586"/>
    <w:rsid w:val="005864C9"/>
    <w:rsid w:val="005866EA"/>
    <w:rsid w:val="00586888"/>
    <w:rsid w:val="00586A65"/>
    <w:rsid w:val="0058785D"/>
    <w:rsid w:val="005879AC"/>
    <w:rsid w:val="00587D9D"/>
    <w:rsid w:val="00587DAA"/>
    <w:rsid w:val="005900CA"/>
    <w:rsid w:val="005906B0"/>
    <w:rsid w:val="005908FA"/>
    <w:rsid w:val="0059189C"/>
    <w:rsid w:val="005921F7"/>
    <w:rsid w:val="00592C9F"/>
    <w:rsid w:val="00594369"/>
    <w:rsid w:val="0059437B"/>
    <w:rsid w:val="00594ADB"/>
    <w:rsid w:val="00595047"/>
    <w:rsid w:val="00595D9C"/>
    <w:rsid w:val="00596CF1"/>
    <w:rsid w:val="00596DD7"/>
    <w:rsid w:val="005970B6"/>
    <w:rsid w:val="00597110"/>
    <w:rsid w:val="005979E7"/>
    <w:rsid w:val="00597FB9"/>
    <w:rsid w:val="005A0261"/>
    <w:rsid w:val="005A052F"/>
    <w:rsid w:val="005A0743"/>
    <w:rsid w:val="005A0988"/>
    <w:rsid w:val="005A11E7"/>
    <w:rsid w:val="005A19B9"/>
    <w:rsid w:val="005A26D8"/>
    <w:rsid w:val="005A335A"/>
    <w:rsid w:val="005A3704"/>
    <w:rsid w:val="005A4490"/>
    <w:rsid w:val="005A55C7"/>
    <w:rsid w:val="005A5641"/>
    <w:rsid w:val="005A5656"/>
    <w:rsid w:val="005A6050"/>
    <w:rsid w:val="005A60FE"/>
    <w:rsid w:val="005A6891"/>
    <w:rsid w:val="005A6A11"/>
    <w:rsid w:val="005A6C88"/>
    <w:rsid w:val="005A75D1"/>
    <w:rsid w:val="005A7748"/>
    <w:rsid w:val="005A78B3"/>
    <w:rsid w:val="005A79B3"/>
    <w:rsid w:val="005B09F7"/>
    <w:rsid w:val="005B137C"/>
    <w:rsid w:val="005B34A6"/>
    <w:rsid w:val="005B354F"/>
    <w:rsid w:val="005B3A0C"/>
    <w:rsid w:val="005B3A76"/>
    <w:rsid w:val="005B502B"/>
    <w:rsid w:val="005B542A"/>
    <w:rsid w:val="005B551C"/>
    <w:rsid w:val="005B5B96"/>
    <w:rsid w:val="005B5E9B"/>
    <w:rsid w:val="005B5F87"/>
    <w:rsid w:val="005B60A8"/>
    <w:rsid w:val="005B6AD5"/>
    <w:rsid w:val="005B7AA4"/>
    <w:rsid w:val="005C0997"/>
    <w:rsid w:val="005C1840"/>
    <w:rsid w:val="005C19C7"/>
    <w:rsid w:val="005C1BDB"/>
    <w:rsid w:val="005C1C81"/>
    <w:rsid w:val="005C1F66"/>
    <w:rsid w:val="005C2396"/>
    <w:rsid w:val="005C2443"/>
    <w:rsid w:val="005C25AD"/>
    <w:rsid w:val="005C2B5E"/>
    <w:rsid w:val="005C2E39"/>
    <w:rsid w:val="005C3004"/>
    <w:rsid w:val="005C4145"/>
    <w:rsid w:val="005C41FA"/>
    <w:rsid w:val="005C54C8"/>
    <w:rsid w:val="005C56DD"/>
    <w:rsid w:val="005C574C"/>
    <w:rsid w:val="005C60CF"/>
    <w:rsid w:val="005C74BF"/>
    <w:rsid w:val="005C74C6"/>
    <w:rsid w:val="005C762D"/>
    <w:rsid w:val="005D07F8"/>
    <w:rsid w:val="005D1B59"/>
    <w:rsid w:val="005D1CB1"/>
    <w:rsid w:val="005D20DC"/>
    <w:rsid w:val="005D23A8"/>
    <w:rsid w:val="005D25F7"/>
    <w:rsid w:val="005D2B8C"/>
    <w:rsid w:val="005D2F7A"/>
    <w:rsid w:val="005D33BD"/>
    <w:rsid w:val="005D38C6"/>
    <w:rsid w:val="005D5366"/>
    <w:rsid w:val="005D6C3E"/>
    <w:rsid w:val="005E14FF"/>
    <w:rsid w:val="005E15A1"/>
    <w:rsid w:val="005E1611"/>
    <w:rsid w:val="005E1738"/>
    <w:rsid w:val="005E1E0F"/>
    <w:rsid w:val="005E1FDF"/>
    <w:rsid w:val="005E253F"/>
    <w:rsid w:val="005E3141"/>
    <w:rsid w:val="005E3531"/>
    <w:rsid w:val="005E37DF"/>
    <w:rsid w:val="005E381E"/>
    <w:rsid w:val="005E3C5E"/>
    <w:rsid w:val="005E442D"/>
    <w:rsid w:val="005E5669"/>
    <w:rsid w:val="005E6747"/>
    <w:rsid w:val="005E7083"/>
    <w:rsid w:val="005F08B8"/>
    <w:rsid w:val="005F0C28"/>
    <w:rsid w:val="005F237D"/>
    <w:rsid w:val="005F29DF"/>
    <w:rsid w:val="005F2C69"/>
    <w:rsid w:val="005F3E94"/>
    <w:rsid w:val="005F4134"/>
    <w:rsid w:val="005F43A7"/>
    <w:rsid w:val="005F4856"/>
    <w:rsid w:val="005F4D4F"/>
    <w:rsid w:val="005F4E3C"/>
    <w:rsid w:val="005F521F"/>
    <w:rsid w:val="005F559E"/>
    <w:rsid w:val="005F59FC"/>
    <w:rsid w:val="005F5F47"/>
    <w:rsid w:val="005F601D"/>
    <w:rsid w:val="005F76C3"/>
    <w:rsid w:val="005F79BC"/>
    <w:rsid w:val="006004D3"/>
    <w:rsid w:val="00600AEA"/>
    <w:rsid w:val="0060148D"/>
    <w:rsid w:val="00601C23"/>
    <w:rsid w:val="00602166"/>
    <w:rsid w:val="00602439"/>
    <w:rsid w:val="006026C1"/>
    <w:rsid w:val="006026CE"/>
    <w:rsid w:val="006037AB"/>
    <w:rsid w:val="00603F97"/>
    <w:rsid w:val="006040CC"/>
    <w:rsid w:val="00604E27"/>
    <w:rsid w:val="006054CD"/>
    <w:rsid w:val="0060552B"/>
    <w:rsid w:val="006057EA"/>
    <w:rsid w:val="00605DBE"/>
    <w:rsid w:val="006065FC"/>
    <w:rsid w:val="00607C93"/>
    <w:rsid w:val="00607D79"/>
    <w:rsid w:val="00607F92"/>
    <w:rsid w:val="00610E15"/>
    <w:rsid w:val="00611134"/>
    <w:rsid w:val="006112BE"/>
    <w:rsid w:val="00611899"/>
    <w:rsid w:val="00612812"/>
    <w:rsid w:val="006130B5"/>
    <w:rsid w:val="00613DEA"/>
    <w:rsid w:val="006148AE"/>
    <w:rsid w:val="0061548E"/>
    <w:rsid w:val="0061549D"/>
    <w:rsid w:val="0061550A"/>
    <w:rsid w:val="00615842"/>
    <w:rsid w:val="00615FD8"/>
    <w:rsid w:val="006165E4"/>
    <w:rsid w:val="00616B2C"/>
    <w:rsid w:val="00616EEF"/>
    <w:rsid w:val="006171B2"/>
    <w:rsid w:val="0061746B"/>
    <w:rsid w:val="00617E08"/>
    <w:rsid w:val="006201A7"/>
    <w:rsid w:val="006208AD"/>
    <w:rsid w:val="00620D56"/>
    <w:rsid w:val="006215DA"/>
    <w:rsid w:val="006222A3"/>
    <w:rsid w:val="006227BC"/>
    <w:rsid w:val="0062370C"/>
    <w:rsid w:val="0062436C"/>
    <w:rsid w:val="006248C9"/>
    <w:rsid w:val="00624B76"/>
    <w:rsid w:val="00624E03"/>
    <w:rsid w:val="006253C2"/>
    <w:rsid w:val="006254DA"/>
    <w:rsid w:val="0062551A"/>
    <w:rsid w:val="00625990"/>
    <w:rsid w:val="00626D37"/>
    <w:rsid w:val="00627928"/>
    <w:rsid w:val="00627C29"/>
    <w:rsid w:val="00627C87"/>
    <w:rsid w:val="00630CD4"/>
    <w:rsid w:val="00630F37"/>
    <w:rsid w:val="006311BC"/>
    <w:rsid w:val="00631BE6"/>
    <w:rsid w:val="006335B9"/>
    <w:rsid w:val="0063388F"/>
    <w:rsid w:val="00633D6C"/>
    <w:rsid w:val="00634233"/>
    <w:rsid w:val="00634238"/>
    <w:rsid w:val="006345D9"/>
    <w:rsid w:val="0063470E"/>
    <w:rsid w:val="00635141"/>
    <w:rsid w:val="00635286"/>
    <w:rsid w:val="0063588D"/>
    <w:rsid w:val="00636B40"/>
    <w:rsid w:val="0063709A"/>
    <w:rsid w:val="00637A8D"/>
    <w:rsid w:val="006400AE"/>
    <w:rsid w:val="00640330"/>
    <w:rsid w:val="00641582"/>
    <w:rsid w:val="00643525"/>
    <w:rsid w:val="006435D9"/>
    <w:rsid w:val="0064475E"/>
    <w:rsid w:val="00644FEB"/>
    <w:rsid w:val="006451D4"/>
    <w:rsid w:val="00645A1B"/>
    <w:rsid w:val="00645CDE"/>
    <w:rsid w:val="00645DEC"/>
    <w:rsid w:val="00646245"/>
    <w:rsid w:val="006463D8"/>
    <w:rsid w:val="00646588"/>
    <w:rsid w:val="0064728F"/>
    <w:rsid w:val="00650F06"/>
    <w:rsid w:val="00650F5D"/>
    <w:rsid w:val="0065102D"/>
    <w:rsid w:val="00651667"/>
    <w:rsid w:val="00651DA7"/>
    <w:rsid w:val="006520D9"/>
    <w:rsid w:val="0065266E"/>
    <w:rsid w:val="00652915"/>
    <w:rsid w:val="00652EEB"/>
    <w:rsid w:val="00653452"/>
    <w:rsid w:val="00654542"/>
    <w:rsid w:val="006545DD"/>
    <w:rsid w:val="00654710"/>
    <w:rsid w:val="00654D62"/>
    <w:rsid w:val="00654EDF"/>
    <w:rsid w:val="006553D7"/>
    <w:rsid w:val="006556A8"/>
    <w:rsid w:val="006561BE"/>
    <w:rsid w:val="0065697E"/>
    <w:rsid w:val="006569EC"/>
    <w:rsid w:val="00656E5B"/>
    <w:rsid w:val="00656FA4"/>
    <w:rsid w:val="00657211"/>
    <w:rsid w:val="006575FB"/>
    <w:rsid w:val="00657D0B"/>
    <w:rsid w:val="00657D34"/>
    <w:rsid w:val="006610E8"/>
    <w:rsid w:val="006615F5"/>
    <w:rsid w:val="00661A11"/>
    <w:rsid w:val="00661FC6"/>
    <w:rsid w:val="006630BC"/>
    <w:rsid w:val="006632A1"/>
    <w:rsid w:val="006634FB"/>
    <w:rsid w:val="00663915"/>
    <w:rsid w:val="00664378"/>
    <w:rsid w:val="00664425"/>
    <w:rsid w:val="00664BD9"/>
    <w:rsid w:val="00664D81"/>
    <w:rsid w:val="00664E1D"/>
    <w:rsid w:val="006657C8"/>
    <w:rsid w:val="0066594C"/>
    <w:rsid w:val="00665E76"/>
    <w:rsid w:val="00666DDF"/>
    <w:rsid w:val="00667158"/>
    <w:rsid w:val="00670583"/>
    <w:rsid w:val="00671C2F"/>
    <w:rsid w:val="006723FC"/>
    <w:rsid w:val="00672501"/>
    <w:rsid w:val="00672800"/>
    <w:rsid w:val="00673575"/>
    <w:rsid w:val="00673577"/>
    <w:rsid w:val="0067536F"/>
    <w:rsid w:val="00675421"/>
    <w:rsid w:val="0067560E"/>
    <w:rsid w:val="006757DF"/>
    <w:rsid w:val="0067589E"/>
    <w:rsid w:val="00676471"/>
    <w:rsid w:val="006767FC"/>
    <w:rsid w:val="00676E85"/>
    <w:rsid w:val="006807FE"/>
    <w:rsid w:val="00680950"/>
    <w:rsid w:val="00680962"/>
    <w:rsid w:val="00680E5B"/>
    <w:rsid w:val="00681C41"/>
    <w:rsid w:val="00681DFA"/>
    <w:rsid w:val="00682840"/>
    <w:rsid w:val="00682D99"/>
    <w:rsid w:val="006831F0"/>
    <w:rsid w:val="006832FA"/>
    <w:rsid w:val="00683E15"/>
    <w:rsid w:val="0068409C"/>
    <w:rsid w:val="00685D1C"/>
    <w:rsid w:val="006861A9"/>
    <w:rsid w:val="006864EA"/>
    <w:rsid w:val="00686622"/>
    <w:rsid w:val="006872BE"/>
    <w:rsid w:val="0068732C"/>
    <w:rsid w:val="00687829"/>
    <w:rsid w:val="006879EA"/>
    <w:rsid w:val="00687A98"/>
    <w:rsid w:val="00690598"/>
    <w:rsid w:val="0069095A"/>
    <w:rsid w:val="0069131C"/>
    <w:rsid w:val="006916AC"/>
    <w:rsid w:val="0069176A"/>
    <w:rsid w:val="00691AAB"/>
    <w:rsid w:val="006920C5"/>
    <w:rsid w:val="006922CE"/>
    <w:rsid w:val="0069364F"/>
    <w:rsid w:val="00693D0B"/>
    <w:rsid w:val="006944A7"/>
    <w:rsid w:val="006946FA"/>
    <w:rsid w:val="006960D1"/>
    <w:rsid w:val="00696EEB"/>
    <w:rsid w:val="006970A6"/>
    <w:rsid w:val="00697675"/>
    <w:rsid w:val="006A0CCF"/>
    <w:rsid w:val="006A0F83"/>
    <w:rsid w:val="006A1651"/>
    <w:rsid w:val="006A16B5"/>
    <w:rsid w:val="006A174C"/>
    <w:rsid w:val="006A18CF"/>
    <w:rsid w:val="006A1B84"/>
    <w:rsid w:val="006A1EBA"/>
    <w:rsid w:val="006A2471"/>
    <w:rsid w:val="006A2CFE"/>
    <w:rsid w:val="006A2DDF"/>
    <w:rsid w:val="006A3397"/>
    <w:rsid w:val="006A33D2"/>
    <w:rsid w:val="006A3FED"/>
    <w:rsid w:val="006A49AE"/>
    <w:rsid w:val="006A4AF9"/>
    <w:rsid w:val="006A4AFE"/>
    <w:rsid w:val="006A4F69"/>
    <w:rsid w:val="006A532B"/>
    <w:rsid w:val="006A5B67"/>
    <w:rsid w:val="006A670E"/>
    <w:rsid w:val="006A761D"/>
    <w:rsid w:val="006A7868"/>
    <w:rsid w:val="006B0747"/>
    <w:rsid w:val="006B0CFD"/>
    <w:rsid w:val="006B1584"/>
    <w:rsid w:val="006B1A72"/>
    <w:rsid w:val="006B2142"/>
    <w:rsid w:val="006B2313"/>
    <w:rsid w:val="006B3321"/>
    <w:rsid w:val="006B3535"/>
    <w:rsid w:val="006B47C1"/>
    <w:rsid w:val="006B4D22"/>
    <w:rsid w:val="006B4E73"/>
    <w:rsid w:val="006B5166"/>
    <w:rsid w:val="006B580C"/>
    <w:rsid w:val="006B591A"/>
    <w:rsid w:val="006B5C60"/>
    <w:rsid w:val="006B60A9"/>
    <w:rsid w:val="006B6520"/>
    <w:rsid w:val="006B6998"/>
    <w:rsid w:val="006B6B43"/>
    <w:rsid w:val="006B6ED6"/>
    <w:rsid w:val="006B73A6"/>
    <w:rsid w:val="006C076C"/>
    <w:rsid w:val="006C0AE6"/>
    <w:rsid w:val="006C1768"/>
    <w:rsid w:val="006C22CF"/>
    <w:rsid w:val="006C23CC"/>
    <w:rsid w:val="006C290F"/>
    <w:rsid w:val="006C2DDD"/>
    <w:rsid w:val="006C34A3"/>
    <w:rsid w:val="006C36A8"/>
    <w:rsid w:val="006C38DD"/>
    <w:rsid w:val="006C3C29"/>
    <w:rsid w:val="006C48C5"/>
    <w:rsid w:val="006C4B26"/>
    <w:rsid w:val="006C4BD4"/>
    <w:rsid w:val="006C509C"/>
    <w:rsid w:val="006C53F9"/>
    <w:rsid w:val="006C65AB"/>
    <w:rsid w:val="006C6858"/>
    <w:rsid w:val="006C756F"/>
    <w:rsid w:val="006C7578"/>
    <w:rsid w:val="006C7C6C"/>
    <w:rsid w:val="006C7EDA"/>
    <w:rsid w:val="006D016E"/>
    <w:rsid w:val="006D05F3"/>
    <w:rsid w:val="006D0708"/>
    <w:rsid w:val="006D0D74"/>
    <w:rsid w:val="006D1353"/>
    <w:rsid w:val="006D1AB2"/>
    <w:rsid w:val="006D2019"/>
    <w:rsid w:val="006D22B3"/>
    <w:rsid w:val="006D28D1"/>
    <w:rsid w:val="006D2C7B"/>
    <w:rsid w:val="006D3C22"/>
    <w:rsid w:val="006D4D88"/>
    <w:rsid w:val="006D565E"/>
    <w:rsid w:val="006D5A4C"/>
    <w:rsid w:val="006D6491"/>
    <w:rsid w:val="006D6612"/>
    <w:rsid w:val="006D68D0"/>
    <w:rsid w:val="006D6E88"/>
    <w:rsid w:val="006D79AF"/>
    <w:rsid w:val="006D7E2A"/>
    <w:rsid w:val="006E02CA"/>
    <w:rsid w:val="006E0305"/>
    <w:rsid w:val="006E04C8"/>
    <w:rsid w:val="006E0597"/>
    <w:rsid w:val="006E0969"/>
    <w:rsid w:val="006E11DC"/>
    <w:rsid w:val="006E152F"/>
    <w:rsid w:val="006E1D70"/>
    <w:rsid w:val="006E203B"/>
    <w:rsid w:val="006E23D0"/>
    <w:rsid w:val="006E240C"/>
    <w:rsid w:val="006E289E"/>
    <w:rsid w:val="006E3348"/>
    <w:rsid w:val="006E363E"/>
    <w:rsid w:val="006E38F1"/>
    <w:rsid w:val="006E3D29"/>
    <w:rsid w:val="006E42C3"/>
    <w:rsid w:val="006E4D37"/>
    <w:rsid w:val="006E517C"/>
    <w:rsid w:val="006E551E"/>
    <w:rsid w:val="006E5546"/>
    <w:rsid w:val="006E5563"/>
    <w:rsid w:val="006E56C2"/>
    <w:rsid w:val="006E57F1"/>
    <w:rsid w:val="006E5F73"/>
    <w:rsid w:val="006E60BD"/>
    <w:rsid w:val="006E6629"/>
    <w:rsid w:val="006E6874"/>
    <w:rsid w:val="006E7869"/>
    <w:rsid w:val="006F0B6C"/>
    <w:rsid w:val="006F1D64"/>
    <w:rsid w:val="006F25EF"/>
    <w:rsid w:val="006F2DB3"/>
    <w:rsid w:val="006F3700"/>
    <w:rsid w:val="006F4938"/>
    <w:rsid w:val="006F5E7D"/>
    <w:rsid w:val="006F6634"/>
    <w:rsid w:val="006F7884"/>
    <w:rsid w:val="006F7E48"/>
    <w:rsid w:val="00700019"/>
    <w:rsid w:val="0070036E"/>
    <w:rsid w:val="007011FD"/>
    <w:rsid w:val="0070178E"/>
    <w:rsid w:val="00701B21"/>
    <w:rsid w:val="00702046"/>
    <w:rsid w:val="00702541"/>
    <w:rsid w:val="00702660"/>
    <w:rsid w:val="007027EB"/>
    <w:rsid w:val="00702B13"/>
    <w:rsid w:val="00702F86"/>
    <w:rsid w:val="00703738"/>
    <w:rsid w:val="00704197"/>
    <w:rsid w:val="00704463"/>
    <w:rsid w:val="0070498C"/>
    <w:rsid w:val="00704F81"/>
    <w:rsid w:val="00705B27"/>
    <w:rsid w:val="00705E35"/>
    <w:rsid w:val="00706066"/>
    <w:rsid w:val="00706237"/>
    <w:rsid w:val="0070773F"/>
    <w:rsid w:val="00707F5F"/>
    <w:rsid w:val="007103C3"/>
    <w:rsid w:val="007104EE"/>
    <w:rsid w:val="00710E60"/>
    <w:rsid w:val="007117ED"/>
    <w:rsid w:val="007126B5"/>
    <w:rsid w:val="00712FB0"/>
    <w:rsid w:val="007137B7"/>
    <w:rsid w:val="00713B6C"/>
    <w:rsid w:val="00713FE6"/>
    <w:rsid w:val="007141D5"/>
    <w:rsid w:val="007141FA"/>
    <w:rsid w:val="00715830"/>
    <w:rsid w:val="00715AC8"/>
    <w:rsid w:val="00716053"/>
    <w:rsid w:val="007167B9"/>
    <w:rsid w:val="00716F5C"/>
    <w:rsid w:val="00717AA7"/>
    <w:rsid w:val="00717AB0"/>
    <w:rsid w:val="00717DF5"/>
    <w:rsid w:val="00717F1A"/>
    <w:rsid w:val="00722808"/>
    <w:rsid w:val="00722994"/>
    <w:rsid w:val="00722AF6"/>
    <w:rsid w:val="00723A12"/>
    <w:rsid w:val="00724C26"/>
    <w:rsid w:val="00724CC7"/>
    <w:rsid w:val="00724D39"/>
    <w:rsid w:val="00724D75"/>
    <w:rsid w:val="0072554E"/>
    <w:rsid w:val="00725959"/>
    <w:rsid w:val="00725A33"/>
    <w:rsid w:val="00726932"/>
    <w:rsid w:val="007273B0"/>
    <w:rsid w:val="00727B83"/>
    <w:rsid w:val="00730252"/>
    <w:rsid w:val="007307B5"/>
    <w:rsid w:val="007326DD"/>
    <w:rsid w:val="00733CA3"/>
    <w:rsid w:val="00734150"/>
    <w:rsid w:val="0073513B"/>
    <w:rsid w:val="00735A20"/>
    <w:rsid w:val="00735EF5"/>
    <w:rsid w:val="00736005"/>
    <w:rsid w:val="007370E0"/>
    <w:rsid w:val="00737221"/>
    <w:rsid w:val="0073790B"/>
    <w:rsid w:val="00737D08"/>
    <w:rsid w:val="007402E4"/>
    <w:rsid w:val="0074112C"/>
    <w:rsid w:val="0074165E"/>
    <w:rsid w:val="00741B3C"/>
    <w:rsid w:val="00742244"/>
    <w:rsid w:val="00742828"/>
    <w:rsid w:val="00743D27"/>
    <w:rsid w:val="00744923"/>
    <w:rsid w:val="00745145"/>
    <w:rsid w:val="0074544F"/>
    <w:rsid w:val="00745496"/>
    <w:rsid w:val="00746118"/>
    <w:rsid w:val="007474FC"/>
    <w:rsid w:val="00747B1E"/>
    <w:rsid w:val="00747C7E"/>
    <w:rsid w:val="00747E55"/>
    <w:rsid w:val="0075084A"/>
    <w:rsid w:val="00751617"/>
    <w:rsid w:val="007524AF"/>
    <w:rsid w:val="007528A0"/>
    <w:rsid w:val="00752E1F"/>
    <w:rsid w:val="00752F11"/>
    <w:rsid w:val="007534EA"/>
    <w:rsid w:val="00753BAE"/>
    <w:rsid w:val="00753BB5"/>
    <w:rsid w:val="00753D3F"/>
    <w:rsid w:val="00754B9F"/>
    <w:rsid w:val="00754DE1"/>
    <w:rsid w:val="00755CD4"/>
    <w:rsid w:val="00755EB7"/>
    <w:rsid w:val="007567EC"/>
    <w:rsid w:val="00757CBA"/>
    <w:rsid w:val="00757EE0"/>
    <w:rsid w:val="00761D59"/>
    <w:rsid w:val="00761F9A"/>
    <w:rsid w:val="00762AA1"/>
    <w:rsid w:val="00763C0A"/>
    <w:rsid w:val="0076481F"/>
    <w:rsid w:val="00764F61"/>
    <w:rsid w:val="007650F6"/>
    <w:rsid w:val="00765405"/>
    <w:rsid w:val="00765431"/>
    <w:rsid w:val="00765D65"/>
    <w:rsid w:val="0076629F"/>
    <w:rsid w:val="0076693C"/>
    <w:rsid w:val="00766A44"/>
    <w:rsid w:val="00766F2C"/>
    <w:rsid w:val="007675A7"/>
    <w:rsid w:val="0076780E"/>
    <w:rsid w:val="00767B37"/>
    <w:rsid w:val="00767C6E"/>
    <w:rsid w:val="00767D0C"/>
    <w:rsid w:val="007702DE"/>
    <w:rsid w:val="0077033B"/>
    <w:rsid w:val="00771017"/>
    <w:rsid w:val="00771AAE"/>
    <w:rsid w:val="00771FEF"/>
    <w:rsid w:val="0077205F"/>
    <w:rsid w:val="00772111"/>
    <w:rsid w:val="0077221C"/>
    <w:rsid w:val="0077232B"/>
    <w:rsid w:val="00772394"/>
    <w:rsid w:val="007725B7"/>
    <w:rsid w:val="00772A02"/>
    <w:rsid w:val="00772B6E"/>
    <w:rsid w:val="00772FF2"/>
    <w:rsid w:val="0077321B"/>
    <w:rsid w:val="0077334C"/>
    <w:rsid w:val="007746AC"/>
    <w:rsid w:val="007748E2"/>
    <w:rsid w:val="00774BD6"/>
    <w:rsid w:val="00774DE9"/>
    <w:rsid w:val="00774EF5"/>
    <w:rsid w:val="007754D6"/>
    <w:rsid w:val="007761B2"/>
    <w:rsid w:val="00777D08"/>
    <w:rsid w:val="00780633"/>
    <w:rsid w:val="00780764"/>
    <w:rsid w:val="00780F61"/>
    <w:rsid w:val="007812BE"/>
    <w:rsid w:val="007812C0"/>
    <w:rsid w:val="00781A29"/>
    <w:rsid w:val="00781B53"/>
    <w:rsid w:val="007820C5"/>
    <w:rsid w:val="0078275C"/>
    <w:rsid w:val="007833E6"/>
    <w:rsid w:val="0078461B"/>
    <w:rsid w:val="007855ED"/>
    <w:rsid w:val="00785665"/>
    <w:rsid w:val="00785CEF"/>
    <w:rsid w:val="00786499"/>
    <w:rsid w:val="007868B7"/>
    <w:rsid w:val="00786E4B"/>
    <w:rsid w:val="00787904"/>
    <w:rsid w:val="00787FBA"/>
    <w:rsid w:val="00790072"/>
    <w:rsid w:val="007902F1"/>
    <w:rsid w:val="0079088A"/>
    <w:rsid w:val="00790BCE"/>
    <w:rsid w:val="0079146A"/>
    <w:rsid w:val="0079175F"/>
    <w:rsid w:val="00791A14"/>
    <w:rsid w:val="0079266F"/>
    <w:rsid w:val="007927E8"/>
    <w:rsid w:val="007927F5"/>
    <w:rsid w:val="00792B37"/>
    <w:rsid w:val="00793416"/>
    <w:rsid w:val="0079375D"/>
    <w:rsid w:val="007939C1"/>
    <w:rsid w:val="00795601"/>
    <w:rsid w:val="00795A88"/>
    <w:rsid w:val="00795B1F"/>
    <w:rsid w:val="00795DBB"/>
    <w:rsid w:val="007977C0"/>
    <w:rsid w:val="007A0032"/>
    <w:rsid w:val="007A018B"/>
    <w:rsid w:val="007A0751"/>
    <w:rsid w:val="007A11EE"/>
    <w:rsid w:val="007A12D2"/>
    <w:rsid w:val="007A193D"/>
    <w:rsid w:val="007A1BD4"/>
    <w:rsid w:val="007A2E3A"/>
    <w:rsid w:val="007A3D0B"/>
    <w:rsid w:val="007A3FBA"/>
    <w:rsid w:val="007A41D2"/>
    <w:rsid w:val="007A51E0"/>
    <w:rsid w:val="007A60FB"/>
    <w:rsid w:val="007A620C"/>
    <w:rsid w:val="007A6265"/>
    <w:rsid w:val="007A710C"/>
    <w:rsid w:val="007A71A1"/>
    <w:rsid w:val="007A71B9"/>
    <w:rsid w:val="007A7342"/>
    <w:rsid w:val="007A7555"/>
    <w:rsid w:val="007A7AB9"/>
    <w:rsid w:val="007B1A3E"/>
    <w:rsid w:val="007B2907"/>
    <w:rsid w:val="007B2E00"/>
    <w:rsid w:val="007B38CE"/>
    <w:rsid w:val="007B3FBD"/>
    <w:rsid w:val="007B400B"/>
    <w:rsid w:val="007B4153"/>
    <w:rsid w:val="007B4318"/>
    <w:rsid w:val="007B4899"/>
    <w:rsid w:val="007B4D03"/>
    <w:rsid w:val="007B66C5"/>
    <w:rsid w:val="007B6B3E"/>
    <w:rsid w:val="007B767A"/>
    <w:rsid w:val="007B7DD9"/>
    <w:rsid w:val="007C04C8"/>
    <w:rsid w:val="007C062D"/>
    <w:rsid w:val="007C09C2"/>
    <w:rsid w:val="007C13DC"/>
    <w:rsid w:val="007C1402"/>
    <w:rsid w:val="007C180A"/>
    <w:rsid w:val="007C191C"/>
    <w:rsid w:val="007C1CB1"/>
    <w:rsid w:val="007C1F4A"/>
    <w:rsid w:val="007C280D"/>
    <w:rsid w:val="007C2923"/>
    <w:rsid w:val="007C2B68"/>
    <w:rsid w:val="007C3073"/>
    <w:rsid w:val="007C3084"/>
    <w:rsid w:val="007C35B8"/>
    <w:rsid w:val="007C3789"/>
    <w:rsid w:val="007C3FAA"/>
    <w:rsid w:val="007C4164"/>
    <w:rsid w:val="007C41FA"/>
    <w:rsid w:val="007C4706"/>
    <w:rsid w:val="007C4B83"/>
    <w:rsid w:val="007C4DD7"/>
    <w:rsid w:val="007C509D"/>
    <w:rsid w:val="007C5A00"/>
    <w:rsid w:val="007C61F0"/>
    <w:rsid w:val="007C627E"/>
    <w:rsid w:val="007C6316"/>
    <w:rsid w:val="007C677C"/>
    <w:rsid w:val="007C68F1"/>
    <w:rsid w:val="007C6C6A"/>
    <w:rsid w:val="007C7077"/>
    <w:rsid w:val="007C74A5"/>
    <w:rsid w:val="007D0900"/>
    <w:rsid w:val="007D123E"/>
    <w:rsid w:val="007D2509"/>
    <w:rsid w:val="007D2734"/>
    <w:rsid w:val="007D2AEB"/>
    <w:rsid w:val="007D30E1"/>
    <w:rsid w:val="007D328B"/>
    <w:rsid w:val="007D3A9B"/>
    <w:rsid w:val="007D40A8"/>
    <w:rsid w:val="007D45A7"/>
    <w:rsid w:val="007D48B2"/>
    <w:rsid w:val="007D50A7"/>
    <w:rsid w:val="007D5148"/>
    <w:rsid w:val="007D63C1"/>
    <w:rsid w:val="007D6529"/>
    <w:rsid w:val="007D6551"/>
    <w:rsid w:val="007D6819"/>
    <w:rsid w:val="007D6A2D"/>
    <w:rsid w:val="007D7085"/>
    <w:rsid w:val="007D7422"/>
    <w:rsid w:val="007D77B0"/>
    <w:rsid w:val="007E06BF"/>
    <w:rsid w:val="007E0717"/>
    <w:rsid w:val="007E0A01"/>
    <w:rsid w:val="007E0ADD"/>
    <w:rsid w:val="007E2A3F"/>
    <w:rsid w:val="007E31C4"/>
    <w:rsid w:val="007E3251"/>
    <w:rsid w:val="007E357F"/>
    <w:rsid w:val="007E35B3"/>
    <w:rsid w:val="007E39F9"/>
    <w:rsid w:val="007E3B0B"/>
    <w:rsid w:val="007E3B6D"/>
    <w:rsid w:val="007E3F5E"/>
    <w:rsid w:val="007E432A"/>
    <w:rsid w:val="007E4927"/>
    <w:rsid w:val="007E4BCE"/>
    <w:rsid w:val="007E4F62"/>
    <w:rsid w:val="007E55A8"/>
    <w:rsid w:val="007E5617"/>
    <w:rsid w:val="007E7DC8"/>
    <w:rsid w:val="007F01EE"/>
    <w:rsid w:val="007F0A07"/>
    <w:rsid w:val="007F103E"/>
    <w:rsid w:val="007F12E3"/>
    <w:rsid w:val="007F1885"/>
    <w:rsid w:val="007F20D5"/>
    <w:rsid w:val="007F2252"/>
    <w:rsid w:val="007F3198"/>
    <w:rsid w:val="007F3858"/>
    <w:rsid w:val="007F3D6D"/>
    <w:rsid w:val="007F4BB9"/>
    <w:rsid w:val="007F4F19"/>
    <w:rsid w:val="007F52F0"/>
    <w:rsid w:val="007F594F"/>
    <w:rsid w:val="007F5DD2"/>
    <w:rsid w:val="007F663C"/>
    <w:rsid w:val="007F67F9"/>
    <w:rsid w:val="007F70F3"/>
    <w:rsid w:val="007F7130"/>
    <w:rsid w:val="007F75FE"/>
    <w:rsid w:val="007F7C58"/>
    <w:rsid w:val="00800A2D"/>
    <w:rsid w:val="00800F76"/>
    <w:rsid w:val="00801451"/>
    <w:rsid w:val="00801BAD"/>
    <w:rsid w:val="008023FD"/>
    <w:rsid w:val="00802930"/>
    <w:rsid w:val="00802F6A"/>
    <w:rsid w:val="00803D78"/>
    <w:rsid w:val="00804424"/>
    <w:rsid w:val="008046A9"/>
    <w:rsid w:val="00804705"/>
    <w:rsid w:val="00804988"/>
    <w:rsid w:val="0080519F"/>
    <w:rsid w:val="0080595B"/>
    <w:rsid w:val="00806204"/>
    <w:rsid w:val="00806635"/>
    <w:rsid w:val="00806902"/>
    <w:rsid w:val="00806CCE"/>
    <w:rsid w:val="008076CB"/>
    <w:rsid w:val="008078F1"/>
    <w:rsid w:val="00807D34"/>
    <w:rsid w:val="00810110"/>
    <w:rsid w:val="0081056E"/>
    <w:rsid w:val="008107C4"/>
    <w:rsid w:val="00811A4D"/>
    <w:rsid w:val="008127D2"/>
    <w:rsid w:val="008128E0"/>
    <w:rsid w:val="00813D71"/>
    <w:rsid w:val="008140A3"/>
    <w:rsid w:val="00814505"/>
    <w:rsid w:val="00814DDC"/>
    <w:rsid w:val="00816B01"/>
    <w:rsid w:val="008204DE"/>
    <w:rsid w:val="0082070C"/>
    <w:rsid w:val="00820969"/>
    <w:rsid w:val="00821B04"/>
    <w:rsid w:val="00821B5B"/>
    <w:rsid w:val="00822570"/>
    <w:rsid w:val="0082270A"/>
    <w:rsid w:val="008227CA"/>
    <w:rsid w:val="00822AF8"/>
    <w:rsid w:val="008239A7"/>
    <w:rsid w:val="00823B34"/>
    <w:rsid w:val="00823E8E"/>
    <w:rsid w:val="008243C6"/>
    <w:rsid w:val="00824BC3"/>
    <w:rsid w:val="00824CF7"/>
    <w:rsid w:val="00824E9C"/>
    <w:rsid w:val="0082562D"/>
    <w:rsid w:val="008264A2"/>
    <w:rsid w:val="00826950"/>
    <w:rsid w:val="00826DD9"/>
    <w:rsid w:val="00827738"/>
    <w:rsid w:val="00827905"/>
    <w:rsid w:val="00827DB4"/>
    <w:rsid w:val="00830E06"/>
    <w:rsid w:val="00830E76"/>
    <w:rsid w:val="00831EDA"/>
    <w:rsid w:val="00831F42"/>
    <w:rsid w:val="00832660"/>
    <w:rsid w:val="00832819"/>
    <w:rsid w:val="00832961"/>
    <w:rsid w:val="00832AC1"/>
    <w:rsid w:val="00832E9B"/>
    <w:rsid w:val="008337EE"/>
    <w:rsid w:val="00834870"/>
    <w:rsid w:val="00835155"/>
    <w:rsid w:val="00835677"/>
    <w:rsid w:val="008358C3"/>
    <w:rsid w:val="00835A15"/>
    <w:rsid w:val="00835BCE"/>
    <w:rsid w:val="00835C86"/>
    <w:rsid w:val="0083605A"/>
    <w:rsid w:val="0083625B"/>
    <w:rsid w:val="0083679B"/>
    <w:rsid w:val="00836DE7"/>
    <w:rsid w:val="00836DF9"/>
    <w:rsid w:val="0083705C"/>
    <w:rsid w:val="0084041A"/>
    <w:rsid w:val="008409C6"/>
    <w:rsid w:val="00841DCB"/>
    <w:rsid w:val="008427E0"/>
    <w:rsid w:val="00842D83"/>
    <w:rsid w:val="00842EAE"/>
    <w:rsid w:val="008444EB"/>
    <w:rsid w:val="008449ED"/>
    <w:rsid w:val="008460A6"/>
    <w:rsid w:val="0084610A"/>
    <w:rsid w:val="00846220"/>
    <w:rsid w:val="00846604"/>
    <w:rsid w:val="0084693F"/>
    <w:rsid w:val="00846ABD"/>
    <w:rsid w:val="00846BD9"/>
    <w:rsid w:val="00846C81"/>
    <w:rsid w:val="00846CC3"/>
    <w:rsid w:val="00847702"/>
    <w:rsid w:val="00850140"/>
    <w:rsid w:val="00850E54"/>
    <w:rsid w:val="0085116E"/>
    <w:rsid w:val="00851AB0"/>
    <w:rsid w:val="0085244B"/>
    <w:rsid w:val="00852E4A"/>
    <w:rsid w:val="0085336B"/>
    <w:rsid w:val="008535FB"/>
    <w:rsid w:val="00853693"/>
    <w:rsid w:val="00853C6C"/>
    <w:rsid w:val="0085597A"/>
    <w:rsid w:val="00855B80"/>
    <w:rsid w:val="00856890"/>
    <w:rsid w:val="00856C08"/>
    <w:rsid w:val="0085722F"/>
    <w:rsid w:val="008574F9"/>
    <w:rsid w:val="008577F3"/>
    <w:rsid w:val="00857E08"/>
    <w:rsid w:val="00860B71"/>
    <w:rsid w:val="008618D8"/>
    <w:rsid w:val="00861BB8"/>
    <w:rsid w:val="00861CB0"/>
    <w:rsid w:val="0086294E"/>
    <w:rsid w:val="00862B92"/>
    <w:rsid w:val="00862E23"/>
    <w:rsid w:val="00863896"/>
    <w:rsid w:val="008645EB"/>
    <w:rsid w:val="00864692"/>
    <w:rsid w:val="0086496D"/>
    <w:rsid w:val="00864A17"/>
    <w:rsid w:val="0086504A"/>
    <w:rsid w:val="008651D5"/>
    <w:rsid w:val="0086606E"/>
    <w:rsid w:val="008667CF"/>
    <w:rsid w:val="00866BF8"/>
    <w:rsid w:val="00867107"/>
    <w:rsid w:val="008676EE"/>
    <w:rsid w:val="0087106E"/>
    <w:rsid w:val="008715B9"/>
    <w:rsid w:val="00872A33"/>
    <w:rsid w:val="00872A4C"/>
    <w:rsid w:val="00872FD7"/>
    <w:rsid w:val="008731D7"/>
    <w:rsid w:val="00873E75"/>
    <w:rsid w:val="00874449"/>
    <w:rsid w:val="008747F8"/>
    <w:rsid w:val="008757AD"/>
    <w:rsid w:val="00876A36"/>
    <w:rsid w:val="00876A8E"/>
    <w:rsid w:val="00876E8A"/>
    <w:rsid w:val="00876F87"/>
    <w:rsid w:val="00877D9D"/>
    <w:rsid w:val="00880C6C"/>
    <w:rsid w:val="00880D5B"/>
    <w:rsid w:val="00880FE2"/>
    <w:rsid w:val="008810BA"/>
    <w:rsid w:val="008811D9"/>
    <w:rsid w:val="00881E34"/>
    <w:rsid w:val="008826CB"/>
    <w:rsid w:val="00882C13"/>
    <w:rsid w:val="008832B0"/>
    <w:rsid w:val="008836A2"/>
    <w:rsid w:val="0088417A"/>
    <w:rsid w:val="008854CC"/>
    <w:rsid w:val="00885694"/>
    <w:rsid w:val="008860B5"/>
    <w:rsid w:val="00886209"/>
    <w:rsid w:val="0088634F"/>
    <w:rsid w:val="00886889"/>
    <w:rsid w:val="0088694B"/>
    <w:rsid w:val="00886CD3"/>
    <w:rsid w:val="008874F1"/>
    <w:rsid w:val="00890063"/>
    <w:rsid w:val="00890579"/>
    <w:rsid w:val="00892765"/>
    <w:rsid w:val="008928CC"/>
    <w:rsid w:val="008933CC"/>
    <w:rsid w:val="00893707"/>
    <w:rsid w:val="00893DC9"/>
    <w:rsid w:val="00893EE8"/>
    <w:rsid w:val="008949A3"/>
    <w:rsid w:val="00894BE8"/>
    <w:rsid w:val="00894DAE"/>
    <w:rsid w:val="0089588F"/>
    <w:rsid w:val="00896821"/>
    <w:rsid w:val="008968B4"/>
    <w:rsid w:val="00896FA9"/>
    <w:rsid w:val="0089711F"/>
    <w:rsid w:val="008977B2"/>
    <w:rsid w:val="008A0117"/>
    <w:rsid w:val="008A05F5"/>
    <w:rsid w:val="008A0659"/>
    <w:rsid w:val="008A0A10"/>
    <w:rsid w:val="008A0AD2"/>
    <w:rsid w:val="008A1BF3"/>
    <w:rsid w:val="008A1C70"/>
    <w:rsid w:val="008A1F78"/>
    <w:rsid w:val="008A260A"/>
    <w:rsid w:val="008A2C71"/>
    <w:rsid w:val="008A422C"/>
    <w:rsid w:val="008A43E9"/>
    <w:rsid w:val="008A486B"/>
    <w:rsid w:val="008A592C"/>
    <w:rsid w:val="008A5D71"/>
    <w:rsid w:val="008A766F"/>
    <w:rsid w:val="008A768C"/>
    <w:rsid w:val="008A77E3"/>
    <w:rsid w:val="008A786C"/>
    <w:rsid w:val="008A7C9F"/>
    <w:rsid w:val="008B02C8"/>
    <w:rsid w:val="008B06FC"/>
    <w:rsid w:val="008B094E"/>
    <w:rsid w:val="008B0E2C"/>
    <w:rsid w:val="008B100F"/>
    <w:rsid w:val="008B11D9"/>
    <w:rsid w:val="008B137A"/>
    <w:rsid w:val="008B1A61"/>
    <w:rsid w:val="008B402B"/>
    <w:rsid w:val="008B433E"/>
    <w:rsid w:val="008B4E88"/>
    <w:rsid w:val="008B507B"/>
    <w:rsid w:val="008B5C94"/>
    <w:rsid w:val="008B617A"/>
    <w:rsid w:val="008B6432"/>
    <w:rsid w:val="008B6B58"/>
    <w:rsid w:val="008B75B4"/>
    <w:rsid w:val="008B775B"/>
    <w:rsid w:val="008B78B1"/>
    <w:rsid w:val="008B7A8B"/>
    <w:rsid w:val="008B7C52"/>
    <w:rsid w:val="008B7C7B"/>
    <w:rsid w:val="008C01A9"/>
    <w:rsid w:val="008C033F"/>
    <w:rsid w:val="008C0387"/>
    <w:rsid w:val="008C0567"/>
    <w:rsid w:val="008C05EA"/>
    <w:rsid w:val="008C0826"/>
    <w:rsid w:val="008C0B0A"/>
    <w:rsid w:val="008C0F29"/>
    <w:rsid w:val="008C152A"/>
    <w:rsid w:val="008C1660"/>
    <w:rsid w:val="008C1747"/>
    <w:rsid w:val="008C1D30"/>
    <w:rsid w:val="008C23C7"/>
    <w:rsid w:val="008C2CFE"/>
    <w:rsid w:val="008C3110"/>
    <w:rsid w:val="008C33FE"/>
    <w:rsid w:val="008C378A"/>
    <w:rsid w:val="008C37BC"/>
    <w:rsid w:val="008C3AD3"/>
    <w:rsid w:val="008C4A8B"/>
    <w:rsid w:val="008C4BA9"/>
    <w:rsid w:val="008C4FC6"/>
    <w:rsid w:val="008C51FA"/>
    <w:rsid w:val="008C5A20"/>
    <w:rsid w:val="008C69F7"/>
    <w:rsid w:val="008C6E16"/>
    <w:rsid w:val="008C74E4"/>
    <w:rsid w:val="008C7524"/>
    <w:rsid w:val="008C7B2D"/>
    <w:rsid w:val="008C7E5C"/>
    <w:rsid w:val="008C7FF3"/>
    <w:rsid w:val="008D05FA"/>
    <w:rsid w:val="008D080F"/>
    <w:rsid w:val="008D1053"/>
    <w:rsid w:val="008D12E3"/>
    <w:rsid w:val="008D17B6"/>
    <w:rsid w:val="008D198A"/>
    <w:rsid w:val="008D2DF9"/>
    <w:rsid w:val="008D3BED"/>
    <w:rsid w:val="008D4857"/>
    <w:rsid w:val="008D6A8E"/>
    <w:rsid w:val="008D704E"/>
    <w:rsid w:val="008D7DFB"/>
    <w:rsid w:val="008E1517"/>
    <w:rsid w:val="008E19A6"/>
    <w:rsid w:val="008E1BEB"/>
    <w:rsid w:val="008E22F8"/>
    <w:rsid w:val="008E2840"/>
    <w:rsid w:val="008E2E4A"/>
    <w:rsid w:val="008E3D9C"/>
    <w:rsid w:val="008E4073"/>
    <w:rsid w:val="008E40C6"/>
    <w:rsid w:val="008E4579"/>
    <w:rsid w:val="008E474E"/>
    <w:rsid w:val="008E4794"/>
    <w:rsid w:val="008E492D"/>
    <w:rsid w:val="008E4E7F"/>
    <w:rsid w:val="008E6B0F"/>
    <w:rsid w:val="008E6E9C"/>
    <w:rsid w:val="008E73AF"/>
    <w:rsid w:val="008E7A6F"/>
    <w:rsid w:val="008E7D24"/>
    <w:rsid w:val="008F0ECB"/>
    <w:rsid w:val="008F1399"/>
    <w:rsid w:val="008F194C"/>
    <w:rsid w:val="008F1AA7"/>
    <w:rsid w:val="008F1DB8"/>
    <w:rsid w:val="008F20CE"/>
    <w:rsid w:val="008F2C00"/>
    <w:rsid w:val="008F3171"/>
    <w:rsid w:val="008F4DE4"/>
    <w:rsid w:val="008F55EB"/>
    <w:rsid w:val="008F5653"/>
    <w:rsid w:val="008F582A"/>
    <w:rsid w:val="008F6031"/>
    <w:rsid w:val="008F612C"/>
    <w:rsid w:val="008F635A"/>
    <w:rsid w:val="008F63F2"/>
    <w:rsid w:val="008F64FF"/>
    <w:rsid w:val="008F6D5E"/>
    <w:rsid w:val="008F7459"/>
    <w:rsid w:val="008F7468"/>
    <w:rsid w:val="008F7AD1"/>
    <w:rsid w:val="00900157"/>
    <w:rsid w:val="009004A0"/>
    <w:rsid w:val="00900C86"/>
    <w:rsid w:val="00900D18"/>
    <w:rsid w:val="0090104A"/>
    <w:rsid w:val="00901320"/>
    <w:rsid w:val="0090180E"/>
    <w:rsid w:val="00902223"/>
    <w:rsid w:val="009023A5"/>
    <w:rsid w:val="00902759"/>
    <w:rsid w:val="00902C9B"/>
    <w:rsid w:val="009030ED"/>
    <w:rsid w:val="009031DA"/>
    <w:rsid w:val="00903270"/>
    <w:rsid w:val="00903683"/>
    <w:rsid w:val="00903A79"/>
    <w:rsid w:val="00904808"/>
    <w:rsid w:val="00904AB3"/>
    <w:rsid w:val="009051C1"/>
    <w:rsid w:val="00906D30"/>
    <w:rsid w:val="00910221"/>
    <w:rsid w:val="0091038A"/>
    <w:rsid w:val="00910C14"/>
    <w:rsid w:val="0091173B"/>
    <w:rsid w:val="009118FE"/>
    <w:rsid w:val="009119B6"/>
    <w:rsid w:val="00911A43"/>
    <w:rsid w:val="00911BA6"/>
    <w:rsid w:val="00911C4A"/>
    <w:rsid w:val="00912029"/>
    <w:rsid w:val="00912174"/>
    <w:rsid w:val="009123F5"/>
    <w:rsid w:val="00912AAC"/>
    <w:rsid w:val="00912D7A"/>
    <w:rsid w:val="00912DB1"/>
    <w:rsid w:val="00912EEF"/>
    <w:rsid w:val="00913B89"/>
    <w:rsid w:val="00914466"/>
    <w:rsid w:val="00914674"/>
    <w:rsid w:val="00914CCC"/>
    <w:rsid w:val="009153DC"/>
    <w:rsid w:val="00915488"/>
    <w:rsid w:val="009158F8"/>
    <w:rsid w:val="0091634A"/>
    <w:rsid w:val="00916492"/>
    <w:rsid w:val="009166D3"/>
    <w:rsid w:val="00916816"/>
    <w:rsid w:val="00916D9E"/>
    <w:rsid w:val="00917272"/>
    <w:rsid w:val="00920032"/>
    <w:rsid w:val="0092017F"/>
    <w:rsid w:val="0092025B"/>
    <w:rsid w:val="009205CB"/>
    <w:rsid w:val="009206DC"/>
    <w:rsid w:val="00920FCD"/>
    <w:rsid w:val="00921083"/>
    <w:rsid w:val="00921563"/>
    <w:rsid w:val="00921771"/>
    <w:rsid w:val="00921CBD"/>
    <w:rsid w:val="0092254D"/>
    <w:rsid w:val="009227DA"/>
    <w:rsid w:val="00922811"/>
    <w:rsid w:val="00923208"/>
    <w:rsid w:val="009232AD"/>
    <w:rsid w:val="00923A95"/>
    <w:rsid w:val="00924307"/>
    <w:rsid w:val="009248C7"/>
    <w:rsid w:val="00924D0B"/>
    <w:rsid w:val="00924F5E"/>
    <w:rsid w:val="00925968"/>
    <w:rsid w:val="00925B88"/>
    <w:rsid w:val="00925C69"/>
    <w:rsid w:val="009262B6"/>
    <w:rsid w:val="00926D97"/>
    <w:rsid w:val="00927709"/>
    <w:rsid w:val="00927B5D"/>
    <w:rsid w:val="00927EEE"/>
    <w:rsid w:val="0093013C"/>
    <w:rsid w:val="00930459"/>
    <w:rsid w:val="009313D7"/>
    <w:rsid w:val="00931C0F"/>
    <w:rsid w:val="0093469D"/>
    <w:rsid w:val="00934EAA"/>
    <w:rsid w:val="009356D3"/>
    <w:rsid w:val="00935FCE"/>
    <w:rsid w:val="00936EC1"/>
    <w:rsid w:val="009376F7"/>
    <w:rsid w:val="0094004C"/>
    <w:rsid w:val="0094032F"/>
    <w:rsid w:val="00940902"/>
    <w:rsid w:val="00940D2E"/>
    <w:rsid w:val="00940D84"/>
    <w:rsid w:val="0094131D"/>
    <w:rsid w:val="009419DC"/>
    <w:rsid w:val="009420F2"/>
    <w:rsid w:val="009422B8"/>
    <w:rsid w:val="009439DA"/>
    <w:rsid w:val="00944409"/>
    <w:rsid w:val="00944BA9"/>
    <w:rsid w:val="00944DB5"/>
    <w:rsid w:val="009452BF"/>
    <w:rsid w:val="0094575D"/>
    <w:rsid w:val="009457B5"/>
    <w:rsid w:val="00945E11"/>
    <w:rsid w:val="00946340"/>
    <w:rsid w:val="009468CF"/>
    <w:rsid w:val="00950405"/>
    <w:rsid w:val="009505F3"/>
    <w:rsid w:val="00950927"/>
    <w:rsid w:val="00950A5E"/>
    <w:rsid w:val="00951563"/>
    <w:rsid w:val="00951C15"/>
    <w:rsid w:val="009521BB"/>
    <w:rsid w:val="00952281"/>
    <w:rsid w:val="00952BDA"/>
    <w:rsid w:val="00952FE0"/>
    <w:rsid w:val="00953883"/>
    <w:rsid w:val="00953FB1"/>
    <w:rsid w:val="00954471"/>
    <w:rsid w:val="009547B0"/>
    <w:rsid w:val="00954B75"/>
    <w:rsid w:val="00954CB9"/>
    <w:rsid w:val="00955181"/>
    <w:rsid w:val="00955A3C"/>
    <w:rsid w:val="00955FBC"/>
    <w:rsid w:val="00956567"/>
    <w:rsid w:val="009566F6"/>
    <w:rsid w:val="00956850"/>
    <w:rsid w:val="00956926"/>
    <w:rsid w:val="00956AE8"/>
    <w:rsid w:val="00956C2A"/>
    <w:rsid w:val="00957298"/>
    <w:rsid w:val="009573CB"/>
    <w:rsid w:val="00957BBD"/>
    <w:rsid w:val="0096042F"/>
    <w:rsid w:val="0096054A"/>
    <w:rsid w:val="0096058F"/>
    <w:rsid w:val="0096093A"/>
    <w:rsid w:val="00961151"/>
    <w:rsid w:val="00961187"/>
    <w:rsid w:val="009613E4"/>
    <w:rsid w:val="009625DD"/>
    <w:rsid w:val="009630A8"/>
    <w:rsid w:val="009656EA"/>
    <w:rsid w:val="009661C5"/>
    <w:rsid w:val="009668F0"/>
    <w:rsid w:val="00966F73"/>
    <w:rsid w:val="00967B2C"/>
    <w:rsid w:val="00967BCE"/>
    <w:rsid w:val="0097030F"/>
    <w:rsid w:val="009704B5"/>
    <w:rsid w:val="009707DF"/>
    <w:rsid w:val="00970CCB"/>
    <w:rsid w:val="00970D68"/>
    <w:rsid w:val="0097163B"/>
    <w:rsid w:val="00972290"/>
    <w:rsid w:val="0097256D"/>
    <w:rsid w:val="0097262B"/>
    <w:rsid w:val="00972B40"/>
    <w:rsid w:val="00972FCD"/>
    <w:rsid w:val="00973F8F"/>
    <w:rsid w:val="00974255"/>
    <w:rsid w:val="00974F7C"/>
    <w:rsid w:val="00975801"/>
    <w:rsid w:val="00975A09"/>
    <w:rsid w:val="00975D6E"/>
    <w:rsid w:val="009761E1"/>
    <w:rsid w:val="0097659A"/>
    <w:rsid w:val="0097664C"/>
    <w:rsid w:val="0097727E"/>
    <w:rsid w:val="009777FC"/>
    <w:rsid w:val="00977C11"/>
    <w:rsid w:val="00977D5A"/>
    <w:rsid w:val="00980057"/>
    <w:rsid w:val="009811C1"/>
    <w:rsid w:val="0098120A"/>
    <w:rsid w:val="0098200C"/>
    <w:rsid w:val="009821A1"/>
    <w:rsid w:val="0098319B"/>
    <w:rsid w:val="00983890"/>
    <w:rsid w:val="009840FD"/>
    <w:rsid w:val="0098481F"/>
    <w:rsid w:val="0098561D"/>
    <w:rsid w:val="00985767"/>
    <w:rsid w:val="009867E0"/>
    <w:rsid w:val="00986A9B"/>
    <w:rsid w:val="009876C0"/>
    <w:rsid w:val="0098772E"/>
    <w:rsid w:val="00987F07"/>
    <w:rsid w:val="009909CB"/>
    <w:rsid w:val="00990E6B"/>
    <w:rsid w:val="00991A5E"/>
    <w:rsid w:val="00991FB4"/>
    <w:rsid w:val="009920F0"/>
    <w:rsid w:val="00992589"/>
    <w:rsid w:val="0099379A"/>
    <w:rsid w:val="0099418A"/>
    <w:rsid w:val="009943AE"/>
    <w:rsid w:val="00995A24"/>
    <w:rsid w:val="00995DB3"/>
    <w:rsid w:val="00996718"/>
    <w:rsid w:val="00996A26"/>
    <w:rsid w:val="00997884"/>
    <w:rsid w:val="009A128E"/>
    <w:rsid w:val="009A1793"/>
    <w:rsid w:val="009A19BC"/>
    <w:rsid w:val="009A2526"/>
    <w:rsid w:val="009A2C67"/>
    <w:rsid w:val="009A377D"/>
    <w:rsid w:val="009A3988"/>
    <w:rsid w:val="009A3E26"/>
    <w:rsid w:val="009A5FCC"/>
    <w:rsid w:val="009A6039"/>
    <w:rsid w:val="009A622E"/>
    <w:rsid w:val="009A6472"/>
    <w:rsid w:val="009A64C1"/>
    <w:rsid w:val="009A66F4"/>
    <w:rsid w:val="009A7C16"/>
    <w:rsid w:val="009A7C8F"/>
    <w:rsid w:val="009A7FF9"/>
    <w:rsid w:val="009B07C0"/>
    <w:rsid w:val="009B125E"/>
    <w:rsid w:val="009B1DB0"/>
    <w:rsid w:val="009B30E5"/>
    <w:rsid w:val="009B38AC"/>
    <w:rsid w:val="009B39C2"/>
    <w:rsid w:val="009B3C29"/>
    <w:rsid w:val="009B44E3"/>
    <w:rsid w:val="009B4776"/>
    <w:rsid w:val="009B4BEA"/>
    <w:rsid w:val="009B4FD1"/>
    <w:rsid w:val="009B5122"/>
    <w:rsid w:val="009B5A30"/>
    <w:rsid w:val="009B5AB5"/>
    <w:rsid w:val="009B5E07"/>
    <w:rsid w:val="009B6F54"/>
    <w:rsid w:val="009B736D"/>
    <w:rsid w:val="009B7381"/>
    <w:rsid w:val="009C0A4E"/>
    <w:rsid w:val="009C0CBB"/>
    <w:rsid w:val="009C0F8A"/>
    <w:rsid w:val="009C1595"/>
    <w:rsid w:val="009C173A"/>
    <w:rsid w:val="009C1841"/>
    <w:rsid w:val="009C1A54"/>
    <w:rsid w:val="009C2085"/>
    <w:rsid w:val="009C274E"/>
    <w:rsid w:val="009C27A5"/>
    <w:rsid w:val="009C2A7A"/>
    <w:rsid w:val="009C361E"/>
    <w:rsid w:val="009C3A97"/>
    <w:rsid w:val="009C3DC2"/>
    <w:rsid w:val="009C49F2"/>
    <w:rsid w:val="009C5906"/>
    <w:rsid w:val="009C590D"/>
    <w:rsid w:val="009C5EA3"/>
    <w:rsid w:val="009C6BF8"/>
    <w:rsid w:val="009C72CB"/>
    <w:rsid w:val="009C73C3"/>
    <w:rsid w:val="009C7D0F"/>
    <w:rsid w:val="009D0756"/>
    <w:rsid w:val="009D1728"/>
    <w:rsid w:val="009D21EE"/>
    <w:rsid w:val="009D3014"/>
    <w:rsid w:val="009D3843"/>
    <w:rsid w:val="009D3CFE"/>
    <w:rsid w:val="009D40D8"/>
    <w:rsid w:val="009D4224"/>
    <w:rsid w:val="009D4DCE"/>
    <w:rsid w:val="009D4EBB"/>
    <w:rsid w:val="009D587B"/>
    <w:rsid w:val="009D6145"/>
    <w:rsid w:val="009D766B"/>
    <w:rsid w:val="009D7705"/>
    <w:rsid w:val="009D77D1"/>
    <w:rsid w:val="009D799F"/>
    <w:rsid w:val="009E028E"/>
    <w:rsid w:val="009E05CC"/>
    <w:rsid w:val="009E0A0B"/>
    <w:rsid w:val="009E0B27"/>
    <w:rsid w:val="009E0B2D"/>
    <w:rsid w:val="009E0CF7"/>
    <w:rsid w:val="009E0D0E"/>
    <w:rsid w:val="009E0F6C"/>
    <w:rsid w:val="009E1005"/>
    <w:rsid w:val="009E1074"/>
    <w:rsid w:val="009E1125"/>
    <w:rsid w:val="009E2717"/>
    <w:rsid w:val="009E2A04"/>
    <w:rsid w:val="009E47C8"/>
    <w:rsid w:val="009E4B66"/>
    <w:rsid w:val="009E4BEB"/>
    <w:rsid w:val="009E51F2"/>
    <w:rsid w:val="009E524B"/>
    <w:rsid w:val="009E5426"/>
    <w:rsid w:val="009E54E3"/>
    <w:rsid w:val="009E5CDA"/>
    <w:rsid w:val="009E5F8C"/>
    <w:rsid w:val="009E5FA2"/>
    <w:rsid w:val="009E6064"/>
    <w:rsid w:val="009E621E"/>
    <w:rsid w:val="009E660B"/>
    <w:rsid w:val="009E792D"/>
    <w:rsid w:val="009F0172"/>
    <w:rsid w:val="009F0289"/>
    <w:rsid w:val="009F0F22"/>
    <w:rsid w:val="009F262E"/>
    <w:rsid w:val="009F3311"/>
    <w:rsid w:val="009F35C1"/>
    <w:rsid w:val="009F3CF7"/>
    <w:rsid w:val="009F3ECA"/>
    <w:rsid w:val="009F45EC"/>
    <w:rsid w:val="009F4BD6"/>
    <w:rsid w:val="009F4DBB"/>
    <w:rsid w:val="009F581F"/>
    <w:rsid w:val="009F6EB4"/>
    <w:rsid w:val="009F70C9"/>
    <w:rsid w:val="009F7360"/>
    <w:rsid w:val="009F763A"/>
    <w:rsid w:val="00A00E0A"/>
    <w:rsid w:val="00A00E68"/>
    <w:rsid w:val="00A01495"/>
    <w:rsid w:val="00A01653"/>
    <w:rsid w:val="00A03C98"/>
    <w:rsid w:val="00A0449F"/>
    <w:rsid w:val="00A044B1"/>
    <w:rsid w:val="00A04754"/>
    <w:rsid w:val="00A0528D"/>
    <w:rsid w:val="00A060D4"/>
    <w:rsid w:val="00A06830"/>
    <w:rsid w:val="00A06B52"/>
    <w:rsid w:val="00A072EE"/>
    <w:rsid w:val="00A078C2"/>
    <w:rsid w:val="00A07B3C"/>
    <w:rsid w:val="00A10200"/>
    <w:rsid w:val="00A10934"/>
    <w:rsid w:val="00A11360"/>
    <w:rsid w:val="00A118B6"/>
    <w:rsid w:val="00A11F91"/>
    <w:rsid w:val="00A12073"/>
    <w:rsid w:val="00A124F7"/>
    <w:rsid w:val="00A12910"/>
    <w:rsid w:val="00A13AB0"/>
    <w:rsid w:val="00A13BB1"/>
    <w:rsid w:val="00A13C58"/>
    <w:rsid w:val="00A14330"/>
    <w:rsid w:val="00A14EED"/>
    <w:rsid w:val="00A16604"/>
    <w:rsid w:val="00A1667F"/>
    <w:rsid w:val="00A16EBC"/>
    <w:rsid w:val="00A16F5D"/>
    <w:rsid w:val="00A1707E"/>
    <w:rsid w:val="00A175B5"/>
    <w:rsid w:val="00A20D26"/>
    <w:rsid w:val="00A2173D"/>
    <w:rsid w:val="00A2232B"/>
    <w:rsid w:val="00A2287D"/>
    <w:rsid w:val="00A22E25"/>
    <w:rsid w:val="00A2310A"/>
    <w:rsid w:val="00A23674"/>
    <w:rsid w:val="00A239B2"/>
    <w:rsid w:val="00A248B8"/>
    <w:rsid w:val="00A24C1E"/>
    <w:rsid w:val="00A24EDD"/>
    <w:rsid w:val="00A25352"/>
    <w:rsid w:val="00A25753"/>
    <w:rsid w:val="00A25824"/>
    <w:rsid w:val="00A25C40"/>
    <w:rsid w:val="00A25FB4"/>
    <w:rsid w:val="00A264E4"/>
    <w:rsid w:val="00A268EC"/>
    <w:rsid w:val="00A26BC4"/>
    <w:rsid w:val="00A27277"/>
    <w:rsid w:val="00A272A2"/>
    <w:rsid w:val="00A27ABB"/>
    <w:rsid w:val="00A27C4D"/>
    <w:rsid w:val="00A2F348"/>
    <w:rsid w:val="00A31CA8"/>
    <w:rsid w:val="00A325BD"/>
    <w:rsid w:val="00A32D3E"/>
    <w:rsid w:val="00A33418"/>
    <w:rsid w:val="00A344CC"/>
    <w:rsid w:val="00A34887"/>
    <w:rsid w:val="00A34A6F"/>
    <w:rsid w:val="00A34D40"/>
    <w:rsid w:val="00A35792"/>
    <w:rsid w:val="00A35873"/>
    <w:rsid w:val="00A359F4"/>
    <w:rsid w:val="00A35FCE"/>
    <w:rsid w:val="00A3665B"/>
    <w:rsid w:val="00A369C3"/>
    <w:rsid w:val="00A36ECA"/>
    <w:rsid w:val="00A3768B"/>
    <w:rsid w:val="00A37AA3"/>
    <w:rsid w:val="00A40ED3"/>
    <w:rsid w:val="00A411A4"/>
    <w:rsid w:val="00A41536"/>
    <w:rsid w:val="00A4157C"/>
    <w:rsid w:val="00A417B5"/>
    <w:rsid w:val="00A42AD1"/>
    <w:rsid w:val="00A42F21"/>
    <w:rsid w:val="00A43099"/>
    <w:rsid w:val="00A43EA3"/>
    <w:rsid w:val="00A44154"/>
    <w:rsid w:val="00A44C9E"/>
    <w:rsid w:val="00A45492"/>
    <w:rsid w:val="00A45801"/>
    <w:rsid w:val="00A45B9C"/>
    <w:rsid w:val="00A45CBC"/>
    <w:rsid w:val="00A45CFE"/>
    <w:rsid w:val="00A46055"/>
    <w:rsid w:val="00A46131"/>
    <w:rsid w:val="00A4625B"/>
    <w:rsid w:val="00A47301"/>
    <w:rsid w:val="00A47579"/>
    <w:rsid w:val="00A47DAB"/>
    <w:rsid w:val="00A47FE3"/>
    <w:rsid w:val="00A5008D"/>
    <w:rsid w:val="00A50B0F"/>
    <w:rsid w:val="00A50D28"/>
    <w:rsid w:val="00A51901"/>
    <w:rsid w:val="00A5303A"/>
    <w:rsid w:val="00A540E2"/>
    <w:rsid w:val="00A5472D"/>
    <w:rsid w:val="00A54815"/>
    <w:rsid w:val="00A549C2"/>
    <w:rsid w:val="00A54A52"/>
    <w:rsid w:val="00A55026"/>
    <w:rsid w:val="00A55100"/>
    <w:rsid w:val="00A55355"/>
    <w:rsid w:val="00A5537F"/>
    <w:rsid w:val="00A557CC"/>
    <w:rsid w:val="00A55C2C"/>
    <w:rsid w:val="00A55FCC"/>
    <w:rsid w:val="00A56AE0"/>
    <w:rsid w:val="00A57155"/>
    <w:rsid w:val="00A579B9"/>
    <w:rsid w:val="00A605A5"/>
    <w:rsid w:val="00A61B51"/>
    <w:rsid w:val="00A61F4A"/>
    <w:rsid w:val="00A62350"/>
    <w:rsid w:val="00A62926"/>
    <w:rsid w:val="00A63AC2"/>
    <w:rsid w:val="00A63AC6"/>
    <w:rsid w:val="00A63DA7"/>
    <w:rsid w:val="00A64108"/>
    <w:rsid w:val="00A641D0"/>
    <w:rsid w:val="00A64446"/>
    <w:rsid w:val="00A646F5"/>
    <w:rsid w:val="00A64817"/>
    <w:rsid w:val="00A65451"/>
    <w:rsid w:val="00A6577A"/>
    <w:rsid w:val="00A662E1"/>
    <w:rsid w:val="00A66754"/>
    <w:rsid w:val="00A66792"/>
    <w:rsid w:val="00A66D45"/>
    <w:rsid w:val="00A671B5"/>
    <w:rsid w:val="00A6721D"/>
    <w:rsid w:val="00A67F2D"/>
    <w:rsid w:val="00A7056E"/>
    <w:rsid w:val="00A70F2F"/>
    <w:rsid w:val="00A725FE"/>
    <w:rsid w:val="00A7279E"/>
    <w:rsid w:val="00A727A7"/>
    <w:rsid w:val="00A728B4"/>
    <w:rsid w:val="00A73174"/>
    <w:rsid w:val="00A73203"/>
    <w:rsid w:val="00A7340C"/>
    <w:rsid w:val="00A73440"/>
    <w:rsid w:val="00A7356E"/>
    <w:rsid w:val="00A737D6"/>
    <w:rsid w:val="00A73C3C"/>
    <w:rsid w:val="00A740CD"/>
    <w:rsid w:val="00A743A7"/>
    <w:rsid w:val="00A74759"/>
    <w:rsid w:val="00A7494B"/>
    <w:rsid w:val="00A74D92"/>
    <w:rsid w:val="00A7557F"/>
    <w:rsid w:val="00A7566B"/>
    <w:rsid w:val="00A757E4"/>
    <w:rsid w:val="00A75971"/>
    <w:rsid w:val="00A7631D"/>
    <w:rsid w:val="00A77376"/>
    <w:rsid w:val="00A778E3"/>
    <w:rsid w:val="00A80008"/>
    <w:rsid w:val="00A801B2"/>
    <w:rsid w:val="00A803B3"/>
    <w:rsid w:val="00A8077A"/>
    <w:rsid w:val="00A80A39"/>
    <w:rsid w:val="00A80B09"/>
    <w:rsid w:val="00A81070"/>
    <w:rsid w:val="00A81990"/>
    <w:rsid w:val="00A81AA0"/>
    <w:rsid w:val="00A826BF"/>
    <w:rsid w:val="00A82E9E"/>
    <w:rsid w:val="00A830AF"/>
    <w:rsid w:val="00A836EB"/>
    <w:rsid w:val="00A8387E"/>
    <w:rsid w:val="00A83AF7"/>
    <w:rsid w:val="00A841B5"/>
    <w:rsid w:val="00A84206"/>
    <w:rsid w:val="00A84B46"/>
    <w:rsid w:val="00A84E17"/>
    <w:rsid w:val="00A8537A"/>
    <w:rsid w:val="00A85AAA"/>
    <w:rsid w:val="00A85D68"/>
    <w:rsid w:val="00A877AF"/>
    <w:rsid w:val="00A87BE6"/>
    <w:rsid w:val="00A87C6B"/>
    <w:rsid w:val="00A87CE1"/>
    <w:rsid w:val="00A90320"/>
    <w:rsid w:val="00A90F8A"/>
    <w:rsid w:val="00A9342D"/>
    <w:rsid w:val="00A94C35"/>
    <w:rsid w:val="00A958A4"/>
    <w:rsid w:val="00A95960"/>
    <w:rsid w:val="00A95D41"/>
    <w:rsid w:val="00A96346"/>
    <w:rsid w:val="00A964FB"/>
    <w:rsid w:val="00A966BC"/>
    <w:rsid w:val="00A96731"/>
    <w:rsid w:val="00A97198"/>
    <w:rsid w:val="00A97262"/>
    <w:rsid w:val="00A97749"/>
    <w:rsid w:val="00A97A74"/>
    <w:rsid w:val="00AA00BD"/>
    <w:rsid w:val="00AA02AA"/>
    <w:rsid w:val="00AA03E8"/>
    <w:rsid w:val="00AA09F0"/>
    <w:rsid w:val="00AA103B"/>
    <w:rsid w:val="00AA1AA4"/>
    <w:rsid w:val="00AA24A5"/>
    <w:rsid w:val="00AA255B"/>
    <w:rsid w:val="00AA2720"/>
    <w:rsid w:val="00AA2B3D"/>
    <w:rsid w:val="00AA41DF"/>
    <w:rsid w:val="00AA45A6"/>
    <w:rsid w:val="00AA45BE"/>
    <w:rsid w:val="00AA534D"/>
    <w:rsid w:val="00AA6731"/>
    <w:rsid w:val="00AA7176"/>
    <w:rsid w:val="00AA755B"/>
    <w:rsid w:val="00AA7631"/>
    <w:rsid w:val="00AB153C"/>
    <w:rsid w:val="00AB1ED3"/>
    <w:rsid w:val="00AB2D6B"/>
    <w:rsid w:val="00AB2E42"/>
    <w:rsid w:val="00AB33B7"/>
    <w:rsid w:val="00AB3AD8"/>
    <w:rsid w:val="00AB4237"/>
    <w:rsid w:val="00AB4A83"/>
    <w:rsid w:val="00AB4B66"/>
    <w:rsid w:val="00AB4BD6"/>
    <w:rsid w:val="00AB625F"/>
    <w:rsid w:val="00AB665C"/>
    <w:rsid w:val="00AB705A"/>
    <w:rsid w:val="00AB73EA"/>
    <w:rsid w:val="00AB74A8"/>
    <w:rsid w:val="00AC0AA6"/>
    <w:rsid w:val="00AC1969"/>
    <w:rsid w:val="00AC1B06"/>
    <w:rsid w:val="00AC1C1C"/>
    <w:rsid w:val="00AC2B90"/>
    <w:rsid w:val="00AC2E1A"/>
    <w:rsid w:val="00AC31A6"/>
    <w:rsid w:val="00AC3A7C"/>
    <w:rsid w:val="00AC4F47"/>
    <w:rsid w:val="00AC51D4"/>
    <w:rsid w:val="00AC5432"/>
    <w:rsid w:val="00AC5438"/>
    <w:rsid w:val="00AC5741"/>
    <w:rsid w:val="00AC57D0"/>
    <w:rsid w:val="00AC5D66"/>
    <w:rsid w:val="00AC73E7"/>
    <w:rsid w:val="00AC7B26"/>
    <w:rsid w:val="00AC7D23"/>
    <w:rsid w:val="00AC7EB4"/>
    <w:rsid w:val="00AD0172"/>
    <w:rsid w:val="00AD0A60"/>
    <w:rsid w:val="00AD0F48"/>
    <w:rsid w:val="00AD1751"/>
    <w:rsid w:val="00AD17EB"/>
    <w:rsid w:val="00AD1B76"/>
    <w:rsid w:val="00AD2215"/>
    <w:rsid w:val="00AD2FE6"/>
    <w:rsid w:val="00AD305B"/>
    <w:rsid w:val="00AD33EE"/>
    <w:rsid w:val="00AD415E"/>
    <w:rsid w:val="00AD4E63"/>
    <w:rsid w:val="00AD4EEE"/>
    <w:rsid w:val="00AD55CE"/>
    <w:rsid w:val="00AD5712"/>
    <w:rsid w:val="00AD5AB0"/>
    <w:rsid w:val="00AD5ACD"/>
    <w:rsid w:val="00AD68B7"/>
    <w:rsid w:val="00AD72AE"/>
    <w:rsid w:val="00AD7345"/>
    <w:rsid w:val="00AD7C45"/>
    <w:rsid w:val="00AE2642"/>
    <w:rsid w:val="00AE29EF"/>
    <w:rsid w:val="00AE29F9"/>
    <w:rsid w:val="00AE3B43"/>
    <w:rsid w:val="00AE3D68"/>
    <w:rsid w:val="00AE524B"/>
    <w:rsid w:val="00AE6234"/>
    <w:rsid w:val="00AE6644"/>
    <w:rsid w:val="00AE6963"/>
    <w:rsid w:val="00AE73EC"/>
    <w:rsid w:val="00AF0268"/>
    <w:rsid w:val="00AF0590"/>
    <w:rsid w:val="00AF0A0A"/>
    <w:rsid w:val="00AF0A9E"/>
    <w:rsid w:val="00AF1396"/>
    <w:rsid w:val="00AF2D31"/>
    <w:rsid w:val="00AF2EBC"/>
    <w:rsid w:val="00AF2ED4"/>
    <w:rsid w:val="00AF46C0"/>
    <w:rsid w:val="00AF4BD2"/>
    <w:rsid w:val="00AF536D"/>
    <w:rsid w:val="00AF54E0"/>
    <w:rsid w:val="00AF5DE9"/>
    <w:rsid w:val="00AF660C"/>
    <w:rsid w:val="00AF6F93"/>
    <w:rsid w:val="00AF7195"/>
    <w:rsid w:val="00AF76BE"/>
    <w:rsid w:val="00AF77E3"/>
    <w:rsid w:val="00AF7813"/>
    <w:rsid w:val="00AF7FA4"/>
    <w:rsid w:val="00B0057F"/>
    <w:rsid w:val="00B0063A"/>
    <w:rsid w:val="00B00752"/>
    <w:rsid w:val="00B0173A"/>
    <w:rsid w:val="00B0195E"/>
    <w:rsid w:val="00B01BE3"/>
    <w:rsid w:val="00B01CA6"/>
    <w:rsid w:val="00B020DF"/>
    <w:rsid w:val="00B0262E"/>
    <w:rsid w:val="00B028ED"/>
    <w:rsid w:val="00B02962"/>
    <w:rsid w:val="00B03B91"/>
    <w:rsid w:val="00B03FFE"/>
    <w:rsid w:val="00B046C0"/>
    <w:rsid w:val="00B052F7"/>
    <w:rsid w:val="00B05560"/>
    <w:rsid w:val="00B05787"/>
    <w:rsid w:val="00B05D43"/>
    <w:rsid w:val="00B05F4C"/>
    <w:rsid w:val="00B05FB7"/>
    <w:rsid w:val="00B0741E"/>
    <w:rsid w:val="00B10322"/>
    <w:rsid w:val="00B103FB"/>
    <w:rsid w:val="00B115F4"/>
    <w:rsid w:val="00B12FB1"/>
    <w:rsid w:val="00B15679"/>
    <w:rsid w:val="00B156D3"/>
    <w:rsid w:val="00B159F0"/>
    <w:rsid w:val="00B16847"/>
    <w:rsid w:val="00B16C92"/>
    <w:rsid w:val="00B171EC"/>
    <w:rsid w:val="00B176DD"/>
    <w:rsid w:val="00B179DE"/>
    <w:rsid w:val="00B17A06"/>
    <w:rsid w:val="00B17E30"/>
    <w:rsid w:val="00B205F8"/>
    <w:rsid w:val="00B20BF6"/>
    <w:rsid w:val="00B21002"/>
    <w:rsid w:val="00B216AD"/>
    <w:rsid w:val="00B21969"/>
    <w:rsid w:val="00B2265E"/>
    <w:rsid w:val="00B22A17"/>
    <w:rsid w:val="00B2353F"/>
    <w:rsid w:val="00B241ED"/>
    <w:rsid w:val="00B24403"/>
    <w:rsid w:val="00B2457C"/>
    <w:rsid w:val="00B2460A"/>
    <w:rsid w:val="00B25250"/>
    <w:rsid w:val="00B2576A"/>
    <w:rsid w:val="00B257A0"/>
    <w:rsid w:val="00B2583F"/>
    <w:rsid w:val="00B25FB5"/>
    <w:rsid w:val="00B26E05"/>
    <w:rsid w:val="00B26F71"/>
    <w:rsid w:val="00B27265"/>
    <w:rsid w:val="00B273F7"/>
    <w:rsid w:val="00B2744F"/>
    <w:rsid w:val="00B27B01"/>
    <w:rsid w:val="00B30574"/>
    <w:rsid w:val="00B305C5"/>
    <w:rsid w:val="00B3121B"/>
    <w:rsid w:val="00B312A8"/>
    <w:rsid w:val="00B3150B"/>
    <w:rsid w:val="00B32209"/>
    <w:rsid w:val="00B32586"/>
    <w:rsid w:val="00B326E1"/>
    <w:rsid w:val="00B32CBC"/>
    <w:rsid w:val="00B32CCB"/>
    <w:rsid w:val="00B3412E"/>
    <w:rsid w:val="00B347AB"/>
    <w:rsid w:val="00B34A5F"/>
    <w:rsid w:val="00B34C54"/>
    <w:rsid w:val="00B34C55"/>
    <w:rsid w:val="00B34FF8"/>
    <w:rsid w:val="00B3533C"/>
    <w:rsid w:val="00B353A6"/>
    <w:rsid w:val="00B354C5"/>
    <w:rsid w:val="00B3565F"/>
    <w:rsid w:val="00B35802"/>
    <w:rsid w:val="00B35B98"/>
    <w:rsid w:val="00B35C03"/>
    <w:rsid w:val="00B36046"/>
    <w:rsid w:val="00B37CA7"/>
    <w:rsid w:val="00B402B8"/>
    <w:rsid w:val="00B40884"/>
    <w:rsid w:val="00B40CD3"/>
    <w:rsid w:val="00B41EC6"/>
    <w:rsid w:val="00B42962"/>
    <w:rsid w:val="00B42F98"/>
    <w:rsid w:val="00B45A91"/>
    <w:rsid w:val="00B46068"/>
    <w:rsid w:val="00B4638E"/>
    <w:rsid w:val="00B46390"/>
    <w:rsid w:val="00B4645C"/>
    <w:rsid w:val="00B46AF2"/>
    <w:rsid w:val="00B51435"/>
    <w:rsid w:val="00B51C15"/>
    <w:rsid w:val="00B51CAC"/>
    <w:rsid w:val="00B522D9"/>
    <w:rsid w:val="00B524DC"/>
    <w:rsid w:val="00B52760"/>
    <w:rsid w:val="00B527B3"/>
    <w:rsid w:val="00B52B6D"/>
    <w:rsid w:val="00B533C2"/>
    <w:rsid w:val="00B53907"/>
    <w:rsid w:val="00B539EF"/>
    <w:rsid w:val="00B54721"/>
    <w:rsid w:val="00B54832"/>
    <w:rsid w:val="00B55372"/>
    <w:rsid w:val="00B5547F"/>
    <w:rsid w:val="00B559E0"/>
    <w:rsid w:val="00B55FC2"/>
    <w:rsid w:val="00B57632"/>
    <w:rsid w:val="00B57BE4"/>
    <w:rsid w:val="00B57D9A"/>
    <w:rsid w:val="00B600EE"/>
    <w:rsid w:val="00B6011E"/>
    <w:rsid w:val="00B6038E"/>
    <w:rsid w:val="00B6092D"/>
    <w:rsid w:val="00B60C96"/>
    <w:rsid w:val="00B612DC"/>
    <w:rsid w:val="00B61A40"/>
    <w:rsid w:val="00B61EB9"/>
    <w:rsid w:val="00B62FD5"/>
    <w:rsid w:val="00B63408"/>
    <w:rsid w:val="00B63D87"/>
    <w:rsid w:val="00B6410E"/>
    <w:rsid w:val="00B64AAB"/>
    <w:rsid w:val="00B64BB0"/>
    <w:rsid w:val="00B64FE8"/>
    <w:rsid w:val="00B650F8"/>
    <w:rsid w:val="00B65A28"/>
    <w:rsid w:val="00B65E10"/>
    <w:rsid w:val="00B66433"/>
    <w:rsid w:val="00B66941"/>
    <w:rsid w:val="00B66F8B"/>
    <w:rsid w:val="00B70188"/>
    <w:rsid w:val="00B7068E"/>
    <w:rsid w:val="00B710E9"/>
    <w:rsid w:val="00B711FC"/>
    <w:rsid w:val="00B714BA"/>
    <w:rsid w:val="00B7169B"/>
    <w:rsid w:val="00B71C32"/>
    <w:rsid w:val="00B71EC7"/>
    <w:rsid w:val="00B71FBB"/>
    <w:rsid w:val="00B7231D"/>
    <w:rsid w:val="00B723B1"/>
    <w:rsid w:val="00B72A15"/>
    <w:rsid w:val="00B72F57"/>
    <w:rsid w:val="00B731CE"/>
    <w:rsid w:val="00B736A9"/>
    <w:rsid w:val="00B73802"/>
    <w:rsid w:val="00B73B86"/>
    <w:rsid w:val="00B73D6B"/>
    <w:rsid w:val="00B73D8E"/>
    <w:rsid w:val="00B73F5F"/>
    <w:rsid w:val="00B7403C"/>
    <w:rsid w:val="00B74389"/>
    <w:rsid w:val="00B74D89"/>
    <w:rsid w:val="00B752A4"/>
    <w:rsid w:val="00B75DC7"/>
    <w:rsid w:val="00B76A19"/>
    <w:rsid w:val="00B76C1F"/>
    <w:rsid w:val="00B774DA"/>
    <w:rsid w:val="00B80053"/>
    <w:rsid w:val="00B80DD1"/>
    <w:rsid w:val="00B80F4D"/>
    <w:rsid w:val="00B80FFA"/>
    <w:rsid w:val="00B818CD"/>
    <w:rsid w:val="00B81B3E"/>
    <w:rsid w:val="00B82017"/>
    <w:rsid w:val="00B823EB"/>
    <w:rsid w:val="00B824FB"/>
    <w:rsid w:val="00B8375B"/>
    <w:rsid w:val="00B839B7"/>
    <w:rsid w:val="00B84814"/>
    <w:rsid w:val="00B849A8"/>
    <w:rsid w:val="00B85807"/>
    <w:rsid w:val="00B85EA2"/>
    <w:rsid w:val="00B86090"/>
    <w:rsid w:val="00B8625B"/>
    <w:rsid w:val="00B874B9"/>
    <w:rsid w:val="00B90319"/>
    <w:rsid w:val="00B9058D"/>
    <w:rsid w:val="00B90B55"/>
    <w:rsid w:val="00B91674"/>
    <w:rsid w:val="00B924D9"/>
    <w:rsid w:val="00B935A3"/>
    <w:rsid w:val="00B936C4"/>
    <w:rsid w:val="00B9424A"/>
    <w:rsid w:val="00B943F5"/>
    <w:rsid w:val="00B946A1"/>
    <w:rsid w:val="00B94A22"/>
    <w:rsid w:val="00B94D72"/>
    <w:rsid w:val="00B94E26"/>
    <w:rsid w:val="00B94E60"/>
    <w:rsid w:val="00B9505A"/>
    <w:rsid w:val="00B9506E"/>
    <w:rsid w:val="00B95363"/>
    <w:rsid w:val="00B96337"/>
    <w:rsid w:val="00B969EF"/>
    <w:rsid w:val="00B96C71"/>
    <w:rsid w:val="00B96C95"/>
    <w:rsid w:val="00B96F42"/>
    <w:rsid w:val="00B97154"/>
    <w:rsid w:val="00B975BB"/>
    <w:rsid w:val="00B97697"/>
    <w:rsid w:val="00B97B1D"/>
    <w:rsid w:val="00BA0198"/>
    <w:rsid w:val="00BA0684"/>
    <w:rsid w:val="00BA0C2F"/>
    <w:rsid w:val="00BA1CFD"/>
    <w:rsid w:val="00BA2961"/>
    <w:rsid w:val="00BA2C87"/>
    <w:rsid w:val="00BA2F91"/>
    <w:rsid w:val="00BA30B2"/>
    <w:rsid w:val="00BA320A"/>
    <w:rsid w:val="00BA3226"/>
    <w:rsid w:val="00BA43CE"/>
    <w:rsid w:val="00BA487F"/>
    <w:rsid w:val="00BA4DD6"/>
    <w:rsid w:val="00BA5343"/>
    <w:rsid w:val="00BA57F9"/>
    <w:rsid w:val="00BA584F"/>
    <w:rsid w:val="00BA62E7"/>
    <w:rsid w:val="00BA6B1D"/>
    <w:rsid w:val="00BA6D7A"/>
    <w:rsid w:val="00BA6F24"/>
    <w:rsid w:val="00BA6FF5"/>
    <w:rsid w:val="00BA7D84"/>
    <w:rsid w:val="00BA7E5C"/>
    <w:rsid w:val="00BB1403"/>
    <w:rsid w:val="00BB206E"/>
    <w:rsid w:val="00BB2D85"/>
    <w:rsid w:val="00BB316E"/>
    <w:rsid w:val="00BB3790"/>
    <w:rsid w:val="00BB3F5E"/>
    <w:rsid w:val="00BB4013"/>
    <w:rsid w:val="00BB497A"/>
    <w:rsid w:val="00BB49EF"/>
    <w:rsid w:val="00BB4AA7"/>
    <w:rsid w:val="00BB4EAC"/>
    <w:rsid w:val="00BB4EAF"/>
    <w:rsid w:val="00BB53BC"/>
    <w:rsid w:val="00BB59C5"/>
    <w:rsid w:val="00BB67EE"/>
    <w:rsid w:val="00BB7821"/>
    <w:rsid w:val="00BB7E7A"/>
    <w:rsid w:val="00BC02E2"/>
    <w:rsid w:val="00BC082C"/>
    <w:rsid w:val="00BC0E2F"/>
    <w:rsid w:val="00BC10BE"/>
    <w:rsid w:val="00BC11EE"/>
    <w:rsid w:val="00BC1660"/>
    <w:rsid w:val="00BC1672"/>
    <w:rsid w:val="00BC2804"/>
    <w:rsid w:val="00BC2E60"/>
    <w:rsid w:val="00BC3003"/>
    <w:rsid w:val="00BC3700"/>
    <w:rsid w:val="00BC3715"/>
    <w:rsid w:val="00BC4178"/>
    <w:rsid w:val="00BC4576"/>
    <w:rsid w:val="00BC4703"/>
    <w:rsid w:val="00BC4871"/>
    <w:rsid w:val="00BC4997"/>
    <w:rsid w:val="00BC5482"/>
    <w:rsid w:val="00BC599E"/>
    <w:rsid w:val="00BC5B47"/>
    <w:rsid w:val="00BC72CF"/>
    <w:rsid w:val="00BC753A"/>
    <w:rsid w:val="00BD008F"/>
    <w:rsid w:val="00BD0234"/>
    <w:rsid w:val="00BD0431"/>
    <w:rsid w:val="00BD1586"/>
    <w:rsid w:val="00BD17AA"/>
    <w:rsid w:val="00BD1EF6"/>
    <w:rsid w:val="00BD24EC"/>
    <w:rsid w:val="00BD2F86"/>
    <w:rsid w:val="00BD31FA"/>
    <w:rsid w:val="00BD361C"/>
    <w:rsid w:val="00BD3898"/>
    <w:rsid w:val="00BD5355"/>
    <w:rsid w:val="00BD564D"/>
    <w:rsid w:val="00BD5941"/>
    <w:rsid w:val="00BD5973"/>
    <w:rsid w:val="00BD5CCB"/>
    <w:rsid w:val="00BD6654"/>
    <w:rsid w:val="00BD67EF"/>
    <w:rsid w:val="00BD6BB8"/>
    <w:rsid w:val="00BD72C2"/>
    <w:rsid w:val="00BD75BB"/>
    <w:rsid w:val="00BE0197"/>
    <w:rsid w:val="00BE0825"/>
    <w:rsid w:val="00BE279D"/>
    <w:rsid w:val="00BE2C47"/>
    <w:rsid w:val="00BE2D86"/>
    <w:rsid w:val="00BE337A"/>
    <w:rsid w:val="00BE33C7"/>
    <w:rsid w:val="00BE4C5B"/>
    <w:rsid w:val="00BE579F"/>
    <w:rsid w:val="00BE5B63"/>
    <w:rsid w:val="00BE6259"/>
    <w:rsid w:val="00BE6AE0"/>
    <w:rsid w:val="00BE6C82"/>
    <w:rsid w:val="00BE70DA"/>
    <w:rsid w:val="00BE73F4"/>
    <w:rsid w:val="00BE750A"/>
    <w:rsid w:val="00BE782E"/>
    <w:rsid w:val="00BE7DBD"/>
    <w:rsid w:val="00BF01D5"/>
    <w:rsid w:val="00BF01F0"/>
    <w:rsid w:val="00BF09AB"/>
    <w:rsid w:val="00BF0FD5"/>
    <w:rsid w:val="00BF149C"/>
    <w:rsid w:val="00BF23DC"/>
    <w:rsid w:val="00BF3221"/>
    <w:rsid w:val="00BF3D51"/>
    <w:rsid w:val="00BF437E"/>
    <w:rsid w:val="00BF4A01"/>
    <w:rsid w:val="00BF5871"/>
    <w:rsid w:val="00BF611C"/>
    <w:rsid w:val="00BF652E"/>
    <w:rsid w:val="00BF6652"/>
    <w:rsid w:val="00BF6A6D"/>
    <w:rsid w:val="00BF7346"/>
    <w:rsid w:val="00BF7BB7"/>
    <w:rsid w:val="00BF7F55"/>
    <w:rsid w:val="00C00095"/>
    <w:rsid w:val="00C00325"/>
    <w:rsid w:val="00C005ED"/>
    <w:rsid w:val="00C00891"/>
    <w:rsid w:val="00C00BEA"/>
    <w:rsid w:val="00C010B4"/>
    <w:rsid w:val="00C01510"/>
    <w:rsid w:val="00C019D7"/>
    <w:rsid w:val="00C020CC"/>
    <w:rsid w:val="00C02300"/>
    <w:rsid w:val="00C02938"/>
    <w:rsid w:val="00C030AD"/>
    <w:rsid w:val="00C035C6"/>
    <w:rsid w:val="00C04421"/>
    <w:rsid w:val="00C04A0E"/>
    <w:rsid w:val="00C04A30"/>
    <w:rsid w:val="00C04B00"/>
    <w:rsid w:val="00C05F2C"/>
    <w:rsid w:val="00C06346"/>
    <w:rsid w:val="00C06898"/>
    <w:rsid w:val="00C06B15"/>
    <w:rsid w:val="00C06F0A"/>
    <w:rsid w:val="00C070DB"/>
    <w:rsid w:val="00C0778D"/>
    <w:rsid w:val="00C0792E"/>
    <w:rsid w:val="00C11019"/>
    <w:rsid w:val="00C11584"/>
    <w:rsid w:val="00C11A9C"/>
    <w:rsid w:val="00C12642"/>
    <w:rsid w:val="00C12778"/>
    <w:rsid w:val="00C12B18"/>
    <w:rsid w:val="00C142B3"/>
    <w:rsid w:val="00C14F32"/>
    <w:rsid w:val="00C14FB4"/>
    <w:rsid w:val="00C15AC9"/>
    <w:rsid w:val="00C1620C"/>
    <w:rsid w:val="00C163D2"/>
    <w:rsid w:val="00C16464"/>
    <w:rsid w:val="00C16E0C"/>
    <w:rsid w:val="00C1708E"/>
    <w:rsid w:val="00C17133"/>
    <w:rsid w:val="00C17A5C"/>
    <w:rsid w:val="00C17DFE"/>
    <w:rsid w:val="00C17EFD"/>
    <w:rsid w:val="00C204EF"/>
    <w:rsid w:val="00C217EC"/>
    <w:rsid w:val="00C21D16"/>
    <w:rsid w:val="00C21D48"/>
    <w:rsid w:val="00C21E1F"/>
    <w:rsid w:val="00C2263A"/>
    <w:rsid w:val="00C226CD"/>
    <w:rsid w:val="00C2287E"/>
    <w:rsid w:val="00C22973"/>
    <w:rsid w:val="00C23239"/>
    <w:rsid w:val="00C23C5E"/>
    <w:rsid w:val="00C240F6"/>
    <w:rsid w:val="00C244C5"/>
    <w:rsid w:val="00C249D3"/>
    <w:rsid w:val="00C24B9B"/>
    <w:rsid w:val="00C25AE4"/>
    <w:rsid w:val="00C26839"/>
    <w:rsid w:val="00C277D0"/>
    <w:rsid w:val="00C2780F"/>
    <w:rsid w:val="00C27EF9"/>
    <w:rsid w:val="00C3014D"/>
    <w:rsid w:val="00C30373"/>
    <w:rsid w:val="00C30732"/>
    <w:rsid w:val="00C30A31"/>
    <w:rsid w:val="00C30AC7"/>
    <w:rsid w:val="00C31821"/>
    <w:rsid w:val="00C31D51"/>
    <w:rsid w:val="00C31E07"/>
    <w:rsid w:val="00C32366"/>
    <w:rsid w:val="00C327AE"/>
    <w:rsid w:val="00C32D00"/>
    <w:rsid w:val="00C3336D"/>
    <w:rsid w:val="00C34498"/>
    <w:rsid w:val="00C347DD"/>
    <w:rsid w:val="00C34C5D"/>
    <w:rsid w:val="00C34D53"/>
    <w:rsid w:val="00C34D65"/>
    <w:rsid w:val="00C3628F"/>
    <w:rsid w:val="00C370D8"/>
    <w:rsid w:val="00C3785D"/>
    <w:rsid w:val="00C401B1"/>
    <w:rsid w:val="00C40B61"/>
    <w:rsid w:val="00C40C9C"/>
    <w:rsid w:val="00C42320"/>
    <w:rsid w:val="00C423CD"/>
    <w:rsid w:val="00C426D3"/>
    <w:rsid w:val="00C42D2A"/>
    <w:rsid w:val="00C43033"/>
    <w:rsid w:val="00C437C8"/>
    <w:rsid w:val="00C439F1"/>
    <w:rsid w:val="00C43A2B"/>
    <w:rsid w:val="00C440FE"/>
    <w:rsid w:val="00C44F3E"/>
    <w:rsid w:val="00C45403"/>
    <w:rsid w:val="00C45B7B"/>
    <w:rsid w:val="00C46033"/>
    <w:rsid w:val="00C465E9"/>
    <w:rsid w:val="00C471B1"/>
    <w:rsid w:val="00C473FE"/>
    <w:rsid w:val="00C50B5E"/>
    <w:rsid w:val="00C5111D"/>
    <w:rsid w:val="00C52BE2"/>
    <w:rsid w:val="00C52DEA"/>
    <w:rsid w:val="00C52EB5"/>
    <w:rsid w:val="00C52F96"/>
    <w:rsid w:val="00C53568"/>
    <w:rsid w:val="00C53618"/>
    <w:rsid w:val="00C53B59"/>
    <w:rsid w:val="00C53D46"/>
    <w:rsid w:val="00C53EC6"/>
    <w:rsid w:val="00C53F45"/>
    <w:rsid w:val="00C55135"/>
    <w:rsid w:val="00C55A32"/>
    <w:rsid w:val="00C563FB"/>
    <w:rsid w:val="00C56B46"/>
    <w:rsid w:val="00C56CD9"/>
    <w:rsid w:val="00C5721E"/>
    <w:rsid w:val="00C57486"/>
    <w:rsid w:val="00C578C7"/>
    <w:rsid w:val="00C57E13"/>
    <w:rsid w:val="00C60FF0"/>
    <w:rsid w:val="00C620BC"/>
    <w:rsid w:val="00C628FD"/>
    <w:rsid w:val="00C62EDF"/>
    <w:rsid w:val="00C63D94"/>
    <w:rsid w:val="00C6405E"/>
    <w:rsid w:val="00C64133"/>
    <w:rsid w:val="00C647A4"/>
    <w:rsid w:val="00C64CDD"/>
    <w:rsid w:val="00C650B3"/>
    <w:rsid w:val="00C65531"/>
    <w:rsid w:val="00C65A6A"/>
    <w:rsid w:val="00C65CDF"/>
    <w:rsid w:val="00C66377"/>
    <w:rsid w:val="00C66476"/>
    <w:rsid w:val="00C66541"/>
    <w:rsid w:val="00C66C52"/>
    <w:rsid w:val="00C66DBE"/>
    <w:rsid w:val="00C6704D"/>
    <w:rsid w:val="00C671C6"/>
    <w:rsid w:val="00C6782B"/>
    <w:rsid w:val="00C7075D"/>
    <w:rsid w:val="00C70E64"/>
    <w:rsid w:val="00C7216F"/>
    <w:rsid w:val="00C7261B"/>
    <w:rsid w:val="00C72851"/>
    <w:rsid w:val="00C7398D"/>
    <w:rsid w:val="00C73F62"/>
    <w:rsid w:val="00C76667"/>
    <w:rsid w:val="00C76E27"/>
    <w:rsid w:val="00C76E62"/>
    <w:rsid w:val="00C76F71"/>
    <w:rsid w:val="00C80177"/>
    <w:rsid w:val="00C808A9"/>
    <w:rsid w:val="00C8097A"/>
    <w:rsid w:val="00C809BE"/>
    <w:rsid w:val="00C80C21"/>
    <w:rsid w:val="00C81346"/>
    <w:rsid w:val="00C81381"/>
    <w:rsid w:val="00C814C5"/>
    <w:rsid w:val="00C81992"/>
    <w:rsid w:val="00C81AA9"/>
    <w:rsid w:val="00C81F39"/>
    <w:rsid w:val="00C82221"/>
    <w:rsid w:val="00C82B37"/>
    <w:rsid w:val="00C83449"/>
    <w:rsid w:val="00C834B6"/>
    <w:rsid w:val="00C8373B"/>
    <w:rsid w:val="00C83C86"/>
    <w:rsid w:val="00C846E3"/>
    <w:rsid w:val="00C84C50"/>
    <w:rsid w:val="00C8503D"/>
    <w:rsid w:val="00C85B17"/>
    <w:rsid w:val="00C85B5D"/>
    <w:rsid w:val="00C85E0D"/>
    <w:rsid w:val="00C863B3"/>
    <w:rsid w:val="00C86650"/>
    <w:rsid w:val="00C86759"/>
    <w:rsid w:val="00C86FED"/>
    <w:rsid w:val="00C87351"/>
    <w:rsid w:val="00C87653"/>
    <w:rsid w:val="00C879AF"/>
    <w:rsid w:val="00C87CB1"/>
    <w:rsid w:val="00C90067"/>
    <w:rsid w:val="00C90285"/>
    <w:rsid w:val="00C90612"/>
    <w:rsid w:val="00C90787"/>
    <w:rsid w:val="00C90D97"/>
    <w:rsid w:val="00C918A1"/>
    <w:rsid w:val="00C921ED"/>
    <w:rsid w:val="00C92727"/>
    <w:rsid w:val="00C93375"/>
    <w:rsid w:val="00C937CB"/>
    <w:rsid w:val="00C9390B"/>
    <w:rsid w:val="00C939E4"/>
    <w:rsid w:val="00C94BEA"/>
    <w:rsid w:val="00C94C78"/>
    <w:rsid w:val="00C9529A"/>
    <w:rsid w:val="00C9579C"/>
    <w:rsid w:val="00C957BE"/>
    <w:rsid w:val="00C96BEC"/>
    <w:rsid w:val="00C97750"/>
    <w:rsid w:val="00C977F8"/>
    <w:rsid w:val="00CA13C3"/>
    <w:rsid w:val="00CA3ADC"/>
    <w:rsid w:val="00CA3C32"/>
    <w:rsid w:val="00CA3D99"/>
    <w:rsid w:val="00CA3ED1"/>
    <w:rsid w:val="00CA4284"/>
    <w:rsid w:val="00CA4A11"/>
    <w:rsid w:val="00CA4A2D"/>
    <w:rsid w:val="00CA4A73"/>
    <w:rsid w:val="00CA4D97"/>
    <w:rsid w:val="00CA4E04"/>
    <w:rsid w:val="00CA57DF"/>
    <w:rsid w:val="00CA6A92"/>
    <w:rsid w:val="00CA6D0B"/>
    <w:rsid w:val="00CA6D38"/>
    <w:rsid w:val="00CA74DA"/>
    <w:rsid w:val="00CA7E3B"/>
    <w:rsid w:val="00CB041E"/>
    <w:rsid w:val="00CB15D8"/>
    <w:rsid w:val="00CB1CE0"/>
    <w:rsid w:val="00CB20F4"/>
    <w:rsid w:val="00CB2503"/>
    <w:rsid w:val="00CB3548"/>
    <w:rsid w:val="00CB3777"/>
    <w:rsid w:val="00CB3EEA"/>
    <w:rsid w:val="00CB4286"/>
    <w:rsid w:val="00CB4387"/>
    <w:rsid w:val="00CB4467"/>
    <w:rsid w:val="00CB45E1"/>
    <w:rsid w:val="00CB4B81"/>
    <w:rsid w:val="00CB5CC9"/>
    <w:rsid w:val="00CB64D1"/>
    <w:rsid w:val="00CB6A7D"/>
    <w:rsid w:val="00CC12B6"/>
    <w:rsid w:val="00CC1606"/>
    <w:rsid w:val="00CC1E7A"/>
    <w:rsid w:val="00CC2AC5"/>
    <w:rsid w:val="00CC2C42"/>
    <w:rsid w:val="00CC36DA"/>
    <w:rsid w:val="00CC4B4D"/>
    <w:rsid w:val="00CC5029"/>
    <w:rsid w:val="00CC5472"/>
    <w:rsid w:val="00CC5D57"/>
    <w:rsid w:val="00CC62BA"/>
    <w:rsid w:val="00CC70D1"/>
    <w:rsid w:val="00CC729E"/>
    <w:rsid w:val="00CC7667"/>
    <w:rsid w:val="00CC7ADB"/>
    <w:rsid w:val="00CD0282"/>
    <w:rsid w:val="00CD0D65"/>
    <w:rsid w:val="00CD1DB0"/>
    <w:rsid w:val="00CD1F62"/>
    <w:rsid w:val="00CD20AF"/>
    <w:rsid w:val="00CD2248"/>
    <w:rsid w:val="00CD2477"/>
    <w:rsid w:val="00CD2E64"/>
    <w:rsid w:val="00CD3F82"/>
    <w:rsid w:val="00CD4522"/>
    <w:rsid w:val="00CD45EC"/>
    <w:rsid w:val="00CD57C2"/>
    <w:rsid w:val="00CD72A8"/>
    <w:rsid w:val="00CD7797"/>
    <w:rsid w:val="00CD78FE"/>
    <w:rsid w:val="00CD7AAD"/>
    <w:rsid w:val="00CD7C04"/>
    <w:rsid w:val="00CD7C54"/>
    <w:rsid w:val="00CD7CD8"/>
    <w:rsid w:val="00CE004D"/>
    <w:rsid w:val="00CE02B2"/>
    <w:rsid w:val="00CE13E1"/>
    <w:rsid w:val="00CE1CF0"/>
    <w:rsid w:val="00CE1D91"/>
    <w:rsid w:val="00CE1EB3"/>
    <w:rsid w:val="00CE4429"/>
    <w:rsid w:val="00CE50F2"/>
    <w:rsid w:val="00CE619A"/>
    <w:rsid w:val="00CE6665"/>
    <w:rsid w:val="00CE69E9"/>
    <w:rsid w:val="00CE6A47"/>
    <w:rsid w:val="00CE6B7D"/>
    <w:rsid w:val="00CE7151"/>
    <w:rsid w:val="00CE736B"/>
    <w:rsid w:val="00CE7502"/>
    <w:rsid w:val="00CE7D10"/>
    <w:rsid w:val="00CF0576"/>
    <w:rsid w:val="00CF0947"/>
    <w:rsid w:val="00CF0A3B"/>
    <w:rsid w:val="00CF117D"/>
    <w:rsid w:val="00CF1236"/>
    <w:rsid w:val="00CF130C"/>
    <w:rsid w:val="00CF14B7"/>
    <w:rsid w:val="00CF1D98"/>
    <w:rsid w:val="00CF206F"/>
    <w:rsid w:val="00CF253F"/>
    <w:rsid w:val="00CF3168"/>
    <w:rsid w:val="00CF340B"/>
    <w:rsid w:val="00CF379F"/>
    <w:rsid w:val="00CF392B"/>
    <w:rsid w:val="00CF392D"/>
    <w:rsid w:val="00CF3A93"/>
    <w:rsid w:val="00CF3E25"/>
    <w:rsid w:val="00CF4776"/>
    <w:rsid w:val="00CF4A96"/>
    <w:rsid w:val="00CF56A2"/>
    <w:rsid w:val="00CF6159"/>
    <w:rsid w:val="00CF633A"/>
    <w:rsid w:val="00CF641F"/>
    <w:rsid w:val="00CF6BF4"/>
    <w:rsid w:val="00CF7F13"/>
    <w:rsid w:val="00D00073"/>
    <w:rsid w:val="00D00194"/>
    <w:rsid w:val="00D00254"/>
    <w:rsid w:val="00D00609"/>
    <w:rsid w:val="00D00F0E"/>
    <w:rsid w:val="00D02DC5"/>
    <w:rsid w:val="00D02E16"/>
    <w:rsid w:val="00D03584"/>
    <w:rsid w:val="00D03B6B"/>
    <w:rsid w:val="00D04871"/>
    <w:rsid w:val="00D060A7"/>
    <w:rsid w:val="00D060CE"/>
    <w:rsid w:val="00D06390"/>
    <w:rsid w:val="00D06CCE"/>
    <w:rsid w:val="00D07228"/>
    <w:rsid w:val="00D072D0"/>
    <w:rsid w:val="00D10592"/>
    <w:rsid w:val="00D105AD"/>
    <w:rsid w:val="00D10948"/>
    <w:rsid w:val="00D10960"/>
    <w:rsid w:val="00D10E4B"/>
    <w:rsid w:val="00D1118B"/>
    <w:rsid w:val="00D13903"/>
    <w:rsid w:val="00D1393E"/>
    <w:rsid w:val="00D139FA"/>
    <w:rsid w:val="00D13A68"/>
    <w:rsid w:val="00D1419C"/>
    <w:rsid w:val="00D15AD5"/>
    <w:rsid w:val="00D17BDD"/>
    <w:rsid w:val="00D205F7"/>
    <w:rsid w:val="00D206DD"/>
    <w:rsid w:val="00D20BC5"/>
    <w:rsid w:val="00D2180D"/>
    <w:rsid w:val="00D21B18"/>
    <w:rsid w:val="00D21F7D"/>
    <w:rsid w:val="00D225F1"/>
    <w:rsid w:val="00D2268D"/>
    <w:rsid w:val="00D22792"/>
    <w:rsid w:val="00D22A2D"/>
    <w:rsid w:val="00D23AC6"/>
    <w:rsid w:val="00D23CF6"/>
    <w:rsid w:val="00D2482C"/>
    <w:rsid w:val="00D24E4B"/>
    <w:rsid w:val="00D24E9D"/>
    <w:rsid w:val="00D24F09"/>
    <w:rsid w:val="00D25067"/>
    <w:rsid w:val="00D25CD3"/>
    <w:rsid w:val="00D25E4E"/>
    <w:rsid w:val="00D26280"/>
    <w:rsid w:val="00D26540"/>
    <w:rsid w:val="00D26BBA"/>
    <w:rsid w:val="00D27644"/>
    <w:rsid w:val="00D30B15"/>
    <w:rsid w:val="00D3103F"/>
    <w:rsid w:val="00D31C0D"/>
    <w:rsid w:val="00D320F9"/>
    <w:rsid w:val="00D3219D"/>
    <w:rsid w:val="00D32AD5"/>
    <w:rsid w:val="00D32E75"/>
    <w:rsid w:val="00D333BD"/>
    <w:rsid w:val="00D33410"/>
    <w:rsid w:val="00D3418D"/>
    <w:rsid w:val="00D3468F"/>
    <w:rsid w:val="00D349F1"/>
    <w:rsid w:val="00D34CDC"/>
    <w:rsid w:val="00D351ED"/>
    <w:rsid w:val="00D35AFA"/>
    <w:rsid w:val="00D3618D"/>
    <w:rsid w:val="00D36749"/>
    <w:rsid w:val="00D36EB9"/>
    <w:rsid w:val="00D37300"/>
    <w:rsid w:val="00D37DB6"/>
    <w:rsid w:val="00D400AF"/>
    <w:rsid w:val="00D4016D"/>
    <w:rsid w:val="00D408C9"/>
    <w:rsid w:val="00D415BB"/>
    <w:rsid w:val="00D41844"/>
    <w:rsid w:val="00D41B9C"/>
    <w:rsid w:val="00D42527"/>
    <w:rsid w:val="00D425EC"/>
    <w:rsid w:val="00D42C9A"/>
    <w:rsid w:val="00D43252"/>
    <w:rsid w:val="00D43372"/>
    <w:rsid w:val="00D433F2"/>
    <w:rsid w:val="00D43735"/>
    <w:rsid w:val="00D440F0"/>
    <w:rsid w:val="00D44F07"/>
    <w:rsid w:val="00D4506D"/>
    <w:rsid w:val="00D45C50"/>
    <w:rsid w:val="00D45C71"/>
    <w:rsid w:val="00D45DAA"/>
    <w:rsid w:val="00D46172"/>
    <w:rsid w:val="00D467F7"/>
    <w:rsid w:val="00D46AF4"/>
    <w:rsid w:val="00D46EB2"/>
    <w:rsid w:val="00D474CC"/>
    <w:rsid w:val="00D47A2C"/>
    <w:rsid w:val="00D47F84"/>
    <w:rsid w:val="00D5012F"/>
    <w:rsid w:val="00D508CE"/>
    <w:rsid w:val="00D511F9"/>
    <w:rsid w:val="00D51B59"/>
    <w:rsid w:val="00D51C21"/>
    <w:rsid w:val="00D51D4A"/>
    <w:rsid w:val="00D5237E"/>
    <w:rsid w:val="00D5243D"/>
    <w:rsid w:val="00D52FBD"/>
    <w:rsid w:val="00D5354F"/>
    <w:rsid w:val="00D53931"/>
    <w:rsid w:val="00D53B93"/>
    <w:rsid w:val="00D53E61"/>
    <w:rsid w:val="00D541B5"/>
    <w:rsid w:val="00D547F1"/>
    <w:rsid w:val="00D54DEB"/>
    <w:rsid w:val="00D54FC1"/>
    <w:rsid w:val="00D55588"/>
    <w:rsid w:val="00D55CCE"/>
    <w:rsid w:val="00D565BC"/>
    <w:rsid w:val="00D56B26"/>
    <w:rsid w:val="00D5702C"/>
    <w:rsid w:val="00D57A61"/>
    <w:rsid w:val="00D624FA"/>
    <w:rsid w:val="00D626F0"/>
    <w:rsid w:val="00D6312D"/>
    <w:rsid w:val="00D63A53"/>
    <w:rsid w:val="00D63EFF"/>
    <w:rsid w:val="00D64AE8"/>
    <w:rsid w:val="00D64B1E"/>
    <w:rsid w:val="00D651C8"/>
    <w:rsid w:val="00D654D1"/>
    <w:rsid w:val="00D65571"/>
    <w:rsid w:val="00D65C09"/>
    <w:rsid w:val="00D6651A"/>
    <w:rsid w:val="00D67DBB"/>
    <w:rsid w:val="00D709DD"/>
    <w:rsid w:val="00D70C72"/>
    <w:rsid w:val="00D70F83"/>
    <w:rsid w:val="00D716AC"/>
    <w:rsid w:val="00D71883"/>
    <w:rsid w:val="00D71E2A"/>
    <w:rsid w:val="00D726ED"/>
    <w:rsid w:val="00D72986"/>
    <w:rsid w:val="00D7304D"/>
    <w:rsid w:val="00D73087"/>
    <w:rsid w:val="00D7331F"/>
    <w:rsid w:val="00D7339C"/>
    <w:rsid w:val="00D735FF"/>
    <w:rsid w:val="00D7375D"/>
    <w:rsid w:val="00D737B3"/>
    <w:rsid w:val="00D738A7"/>
    <w:rsid w:val="00D739A6"/>
    <w:rsid w:val="00D74529"/>
    <w:rsid w:val="00D746D2"/>
    <w:rsid w:val="00D74E1B"/>
    <w:rsid w:val="00D74F16"/>
    <w:rsid w:val="00D751D1"/>
    <w:rsid w:val="00D75566"/>
    <w:rsid w:val="00D76263"/>
    <w:rsid w:val="00D76325"/>
    <w:rsid w:val="00D766B6"/>
    <w:rsid w:val="00D768CC"/>
    <w:rsid w:val="00D769C8"/>
    <w:rsid w:val="00D76A55"/>
    <w:rsid w:val="00D77134"/>
    <w:rsid w:val="00D77F7A"/>
    <w:rsid w:val="00D77FB9"/>
    <w:rsid w:val="00D808D9"/>
    <w:rsid w:val="00D80D63"/>
    <w:rsid w:val="00D8114C"/>
    <w:rsid w:val="00D830B9"/>
    <w:rsid w:val="00D83732"/>
    <w:rsid w:val="00D83BDA"/>
    <w:rsid w:val="00D86478"/>
    <w:rsid w:val="00D86542"/>
    <w:rsid w:val="00D8694E"/>
    <w:rsid w:val="00D86A1A"/>
    <w:rsid w:val="00D870F8"/>
    <w:rsid w:val="00D87831"/>
    <w:rsid w:val="00D90471"/>
    <w:rsid w:val="00D9055F"/>
    <w:rsid w:val="00D90CB3"/>
    <w:rsid w:val="00D90F92"/>
    <w:rsid w:val="00D91828"/>
    <w:rsid w:val="00D91AEE"/>
    <w:rsid w:val="00D91DBB"/>
    <w:rsid w:val="00D92665"/>
    <w:rsid w:val="00D9282F"/>
    <w:rsid w:val="00D936B6"/>
    <w:rsid w:val="00D93BA3"/>
    <w:rsid w:val="00D93C73"/>
    <w:rsid w:val="00D943CD"/>
    <w:rsid w:val="00D944B5"/>
    <w:rsid w:val="00D9467B"/>
    <w:rsid w:val="00D94912"/>
    <w:rsid w:val="00D94D55"/>
    <w:rsid w:val="00D96F4C"/>
    <w:rsid w:val="00D97978"/>
    <w:rsid w:val="00D979D6"/>
    <w:rsid w:val="00D97A00"/>
    <w:rsid w:val="00D97AA9"/>
    <w:rsid w:val="00D97FC8"/>
    <w:rsid w:val="00DA00FD"/>
    <w:rsid w:val="00DA025F"/>
    <w:rsid w:val="00DA03CE"/>
    <w:rsid w:val="00DA0429"/>
    <w:rsid w:val="00DA04E7"/>
    <w:rsid w:val="00DA059A"/>
    <w:rsid w:val="00DA14EE"/>
    <w:rsid w:val="00DA1524"/>
    <w:rsid w:val="00DA1855"/>
    <w:rsid w:val="00DA1BF9"/>
    <w:rsid w:val="00DA1FB4"/>
    <w:rsid w:val="00DA28DE"/>
    <w:rsid w:val="00DA2904"/>
    <w:rsid w:val="00DA2C31"/>
    <w:rsid w:val="00DA2DAC"/>
    <w:rsid w:val="00DA37D7"/>
    <w:rsid w:val="00DA3987"/>
    <w:rsid w:val="00DA3B3C"/>
    <w:rsid w:val="00DA3E77"/>
    <w:rsid w:val="00DA4FF0"/>
    <w:rsid w:val="00DA54C3"/>
    <w:rsid w:val="00DA6120"/>
    <w:rsid w:val="00DA663E"/>
    <w:rsid w:val="00DA6756"/>
    <w:rsid w:val="00DA787C"/>
    <w:rsid w:val="00DA7CFA"/>
    <w:rsid w:val="00DA7FE3"/>
    <w:rsid w:val="00DB0159"/>
    <w:rsid w:val="00DB0E10"/>
    <w:rsid w:val="00DB1566"/>
    <w:rsid w:val="00DB1851"/>
    <w:rsid w:val="00DB353A"/>
    <w:rsid w:val="00DB398B"/>
    <w:rsid w:val="00DB39BD"/>
    <w:rsid w:val="00DB4B60"/>
    <w:rsid w:val="00DB4E0D"/>
    <w:rsid w:val="00DB4F40"/>
    <w:rsid w:val="00DB5266"/>
    <w:rsid w:val="00DB5FD0"/>
    <w:rsid w:val="00DB6BD7"/>
    <w:rsid w:val="00DB76E2"/>
    <w:rsid w:val="00DB7762"/>
    <w:rsid w:val="00DB7C90"/>
    <w:rsid w:val="00DC0403"/>
    <w:rsid w:val="00DC08C8"/>
    <w:rsid w:val="00DC0D51"/>
    <w:rsid w:val="00DC1269"/>
    <w:rsid w:val="00DC1315"/>
    <w:rsid w:val="00DC1704"/>
    <w:rsid w:val="00DC1A2B"/>
    <w:rsid w:val="00DC1AEB"/>
    <w:rsid w:val="00DC1E37"/>
    <w:rsid w:val="00DC1F09"/>
    <w:rsid w:val="00DC27B2"/>
    <w:rsid w:val="00DC2856"/>
    <w:rsid w:val="00DC3178"/>
    <w:rsid w:val="00DC32C7"/>
    <w:rsid w:val="00DC402B"/>
    <w:rsid w:val="00DC4842"/>
    <w:rsid w:val="00DC50F9"/>
    <w:rsid w:val="00DC5254"/>
    <w:rsid w:val="00DC66F7"/>
    <w:rsid w:val="00DC679F"/>
    <w:rsid w:val="00DC6800"/>
    <w:rsid w:val="00DC6AFF"/>
    <w:rsid w:val="00DC6E43"/>
    <w:rsid w:val="00DC6FC4"/>
    <w:rsid w:val="00DC7F66"/>
    <w:rsid w:val="00DC7FDE"/>
    <w:rsid w:val="00DD0280"/>
    <w:rsid w:val="00DD0BF5"/>
    <w:rsid w:val="00DD10EF"/>
    <w:rsid w:val="00DD12AF"/>
    <w:rsid w:val="00DD1F22"/>
    <w:rsid w:val="00DD2076"/>
    <w:rsid w:val="00DD2E37"/>
    <w:rsid w:val="00DD33CE"/>
    <w:rsid w:val="00DD3DA5"/>
    <w:rsid w:val="00DD41C7"/>
    <w:rsid w:val="00DD41F4"/>
    <w:rsid w:val="00DD447B"/>
    <w:rsid w:val="00DD4718"/>
    <w:rsid w:val="00DD4BAA"/>
    <w:rsid w:val="00DD4E6A"/>
    <w:rsid w:val="00DD4E72"/>
    <w:rsid w:val="00DD4E86"/>
    <w:rsid w:val="00DD5410"/>
    <w:rsid w:val="00DD69E3"/>
    <w:rsid w:val="00DD6B00"/>
    <w:rsid w:val="00DD7390"/>
    <w:rsid w:val="00DD73E5"/>
    <w:rsid w:val="00DE1924"/>
    <w:rsid w:val="00DE2122"/>
    <w:rsid w:val="00DE3181"/>
    <w:rsid w:val="00DE41A0"/>
    <w:rsid w:val="00DE43C3"/>
    <w:rsid w:val="00DE4C50"/>
    <w:rsid w:val="00DE4E38"/>
    <w:rsid w:val="00DE57C9"/>
    <w:rsid w:val="00DE5C78"/>
    <w:rsid w:val="00DE5CE2"/>
    <w:rsid w:val="00DE5F9B"/>
    <w:rsid w:val="00DE6480"/>
    <w:rsid w:val="00DE6B7C"/>
    <w:rsid w:val="00DF06B0"/>
    <w:rsid w:val="00DF12D3"/>
    <w:rsid w:val="00DF1892"/>
    <w:rsid w:val="00DF1C4A"/>
    <w:rsid w:val="00DF26E9"/>
    <w:rsid w:val="00DF27C3"/>
    <w:rsid w:val="00DF2EA7"/>
    <w:rsid w:val="00DF3634"/>
    <w:rsid w:val="00DF4B4D"/>
    <w:rsid w:val="00DF4DA7"/>
    <w:rsid w:val="00DF582E"/>
    <w:rsid w:val="00DF5DC4"/>
    <w:rsid w:val="00DF615C"/>
    <w:rsid w:val="00DF61EE"/>
    <w:rsid w:val="00DF6960"/>
    <w:rsid w:val="00DF7277"/>
    <w:rsid w:val="00DF7927"/>
    <w:rsid w:val="00DF7D25"/>
    <w:rsid w:val="00DF7D4A"/>
    <w:rsid w:val="00E00001"/>
    <w:rsid w:val="00E0002A"/>
    <w:rsid w:val="00E007D0"/>
    <w:rsid w:val="00E00AD2"/>
    <w:rsid w:val="00E00CF3"/>
    <w:rsid w:val="00E01015"/>
    <w:rsid w:val="00E015B9"/>
    <w:rsid w:val="00E0230F"/>
    <w:rsid w:val="00E027B0"/>
    <w:rsid w:val="00E03180"/>
    <w:rsid w:val="00E032DD"/>
    <w:rsid w:val="00E0366E"/>
    <w:rsid w:val="00E03E4C"/>
    <w:rsid w:val="00E04C7F"/>
    <w:rsid w:val="00E05EDD"/>
    <w:rsid w:val="00E06340"/>
    <w:rsid w:val="00E06AD5"/>
    <w:rsid w:val="00E079BA"/>
    <w:rsid w:val="00E10603"/>
    <w:rsid w:val="00E10932"/>
    <w:rsid w:val="00E10AB8"/>
    <w:rsid w:val="00E10B7F"/>
    <w:rsid w:val="00E10D50"/>
    <w:rsid w:val="00E1136C"/>
    <w:rsid w:val="00E1187E"/>
    <w:rsid w:val="00E12344"/>
    <w:rsid w:val="00E127B7"/>
    <w:rsid w:val="00E12CB8"/>
    <w:rsid w:val="00E12CE4"/>
    <w:rsid w:val="00E12D66"/>
    <w:rsid w:val="00E13082"/>
    <w:rsid w:val="00E13873"/>
    <w:rsid w:val="00E15325"/>
    <w:rsid w:val="00E158C8"/>
    <w:rsid w:val="00E15D67"/>
    <w:rsid w:val="00E16847"/>
    <w:rsid w:val="00E169BF"/>
    <w:rsid w:val="00E16B06"/>
    <w:rsid w:val="00E16F4C"/>
    <w:rsid w:val="00E171BE"/>
    <w:rsid w:val="00E176E3"/>
    <w:rsid w:val="00E17EA7"/>
    <w:rsid w:val="00E2034A"/>
    <w:rsid w:val="00E20452"/>
    <w:rsid w:val="00E20524"/>
    <w:rsid w:val="00E207F6"/>
    <w:rsid w:val="00E20CD6"/>
    <w:rsid w:val="00E2130C"/>
    <w:rsid w:val="00E218A3"/>
    <w:rsid w:val="00E219C5"/>
    <w:rsid w:val="00E225BA"/>
    <w:rsid w:val="00E22D4B"/>
    <w:rsid w:val="00E2382F"/>
    <w:rsid w:val="00E23A88"/>
    <w:rsid w:val="00E24371"/>
    <w:rsid w:val="00E243BE"/>
    <w:rsid w:val="00E25C7A"/>
    <w:rsid w:val="00E25FDC"/>
    <w:rsid w:val="00E25FE5"/>
    <w:rsid w:val="00E267C2"/>
    <w:rsid w:val="00E27033"/>
    <w:rsid w:val="00E27497"/>
    <w:rsid w:val="00E274AC"/>
    <w:rsid w:val="00E2775C"/>
    <w:rsid w:val="00E27FD7"/>
    <w:rsid w:val="00E306D5"/>
    <w:rsid w:val="00E30ACD"/>
    <w:rsid w:val="00E319B6"/>
    <w:rsid w:val="00E31B78"/>
    <w:rsid w:val="00E321F9"/>
    <w:rsid w:val="00E3240C"/>
    <w:rsid w:val="00E32438"/>
    <w:rsid w:val="00E329FD"/>
    <w:rsid w:val="00E32A5F"/>
    <w:rsid w:val="00E330F3"/>
    <w:rsid w:val="00E334B1"/>
    <w:rsid w:val="00E34257"/>
    <w:rsid w:val="00E34416"/>
    <w:rsid w:val="00E34520"/>
    <w:rsid w:val="00E3479A"/>
    <w:rsid w:val="00E34FCB"/>
    <w:rsid w:val="00E351F1"/>
    <w:rsid w:val="00E353E8"/>
    <w:rsid w:val="00E35432"/>
    <w:rsid w:val="00E3585E"/>
    <w:rsid w:val="00E35ED6"/>
    <w:rsid w:val="00E3653F"/>
    <w:rsid w:val="00E36569"/>
    <w:rsid w:val="00E366C0"/>
    <w:rsid w:val="00E3671A"/>
    <w:rsid w:val="00E3764D"/>
    <w:rsid w:val="00E379B8"/>
    <w:rsid w:val="00E401A0"/>
    <w:rsid w:val="00E40E0C"/>
    <w:rsid w:val="00E417E7"/>
    <w:rsid w:val="00E4223D"/>
    <w:rsid w:val="00E4253E"/>
    <w:rsid w:val="00E42589"/>
    <w:rsid w:val="00E42F92"/>
    <w:rsid w:val="00E43425"/>
    <w:rsid w:val="00E43786"/>
    <w:rsid w:val="00E44C7B"/>
    <w:rsid w:val="00E45641"/>
    <w:rsid w:val="00E45ADB"/>
    <w:rsid w:val="00E45F0E"/>
    <w:rsid w:val="00E46468"/>
    <w:rsid w:val="00E46DC1"/>
    <w:rsid w:val="00E472BB"/>
    <w:rsid w:val="00E47383"/>
    <w:rsid w:val="00E47819"/>
    <w:rsid w:val="00E47A67"/>
    <w:rsid w:val="00E50A5D"/>
    <w:rsid w:val="00E51172"/>
    <w:rsid w:val="00E51782"/>
    <w:rsid w:val="00E52095"/>
    <w:rsid w:val="00E52588"/>
    <w:rsid w:val="00E528D0"/>
    <w:rsid w:val="00E52B21"/>
    <w:rsid w:val="00E52B79"/>
    <w:rsid w:val="00E5313D"/>
    <w:rsid w:val="00E53C68"/>
    <w:rsid w:val="00E54977"/>
    <w:rsid w:val="00E54F35"/>
    <w:rsid w:val="00E55330"/>
    <w:rsid w:val="00E558D2"/>
    <w:rsid w:val="00E563B5"/>
    <w:rsid w:val="00E56A27"/>
    <w:rsid w:val="00E57C4D"/>
    <w:rsid w:val="00E6023F"/>
    <w:rsid w:val="00E6134C"/>
    <w:rsid w:val="00E6157F"/>
    <w:rsid w:val="00E62361"/>
    <w:rsid w:val="00E62B1F"/>
    <w:rsid w:val="00E63320"/>
    <w:rsid w:val="00E63B57"/>
    <w:rsid w:val="00E63BDF"/>
    <w:rsid w:val="00E64A5B"/>
    <w:rsid w:val="00E6525A"/>
    <w:rsid w:val="00E653D9"/>
    <w:rsid w:val="00E659D7"/>
    <w:rsid w:val="00E65ED5"/>
    <w:rsid w:val="00E66845"/>
    <w:rsid w:val="00E668E9"/>
    <w:rsid w:val="00E66C9A"/>
    <w:rsid w:val="00E67122"/>
    <w:rsid w:val="00E67355"/>
    <w:rsid w:val="00E67490"/>
    <w:rsid w:val="00E67FAE"/>
    <w:rsid w:val="00E71140"/>
    <w:rsid w:val="00E71BC5"/>
    <w:rsid w:val="00E72040"/>
    <w:rsid w:val="00E72254"/>
    <w:rsid w:val="00E72BBF"/>
    <w:rsid w:val="00E73113"/>
    <w:rsid w:val="00E736CA"/>
    <w:rsid w:val="00E7395E"/>
    <w:rsid w:val="00E73D5E"/>
    <w:rsid w:val="00E7452A"/>
    <w:rsid w:val="00E74DA6"/>
    <w:rsid w:val="00E75938"/>
    <w:rsid w:val="00E75B4A"/>
    <w:rsid w:val="00E76521"/>
    <w:rsid w:val="00E76CB6"/>
    <w:rsid w:val="00E77165"/>
    <w:rsid w:val="00E7794F"/>
    <w:rsid w:val="00E77C2C"/>
    <w:rsid w:val="00E80DF7"/>
    <w:rsid w:val="00E81D44"/>
    <w:rsid w:val="00E8214D"/>
    <w:rsid w:val="00E8261A"/>
    <w:rsid w:val="00E83032"/>
    <w:rsid w:val="00E83279"/>
    <w:rsid w:val="00E838EA"/>
    <w:rsid w:val="00E843E8"/>
    <w:rsid w:val="00E846CC"/>
    <w:rsid w:val="00E84E84"/>
    <w:rsid w:val="00E84F8A"/>
    <w:rsid w:val="00E85C58"/>
    <w:rsid w:val="00E85ED5"/>
    <w:rsid w:val="00E86A7E"/>
    <w:rsid w:val="00E86CB6"/>
    <w:rsid w:val="00E86D89"/>
    <w:rsid w:val="00E8723E"/>
    <w:rsid w:val="00E9002A"/>
    <w:rsid w:val="00E90690"/>
    <w:rsid w:val="00E90AF5"/>
    <w:rsid w:val="00E90E3C"/>
    <w:rsid w:val="00E9137C"/>
    <w:rsid w:val="00E93668"/>
    <w:rsid w:val="00E9376F"/>
    <w:rsid w:val="00E9429E"/>
    <w:rsid w:val="00E9471A"/>
    <w:rsid w:val="00E94C7D"/>
    <w:rsid w:val="00E9557F"/>
    <w:rsid w:val="00E95FE6"/>
    <w:rsid w:val="00E96273"/>
    <w:rsid w:val="00E96D1A"/>
    <w:rsid w:val="00E974E1"/>
    <w:rsid w:val="00E97846"/>
    <w:rsid w:val="00EA0718"/>
    <w:rsid w:val="00EA0E7D"/>
    <w:rsid w:val="00EA212C"/>
    <w:rsid w:val="00EA215E"/>
    <w:rsid w:val="00EA292A"/>
    <w:rsid w:val="00EA322E"/>
    <w:rsid w:val="00EA389C"/>
    <w:rsid w:val="00EA3B6C"/>
    <w:rsid w:val="00EA3BD1"/>
    <w:rsid w:val="00EA3D13"/>
    <w:rsid w:val="00EA4BD4"/>
    <w:rsid w:val="00EA4DFA"/>
    <w:rsid w:val="00EA4EB1"/>
    <w:rsid w:val="00EA5455"/>
    <w:rsid w:val="00EA55D0"/>
    <w:rsid w:val="00EA5871"/>
    <w:rsid w:val="00EA5A68"/>
    <w:rsid w:val="00EA5AD4"/>
    <w:rsid w:val="00EA61C9"/>
    <w:rsid w:val="00EA6383"/>
    <w:rsid w:val="00EA7DFB"/>
    <w:rsid w:val="00EB12D5"/>
    <w:rsid w:val="00EB16A1"/>
    <w:rsid w:val="00EB1C66"/>
    <w:rsid w:val="00EB24DC"/>
    <w:rsid w:val="00EB2BCC"/>
    <w:rsid w:val="00EB3898"/>
    <w:rsid w:val="00EB396F"/>
    <w:rsid w:val="00EB399E"/>
    <w:rsid w:val="00EB3A02"/>
    <w:rsid w:val="00EB3BFB"/>
    <w:rsid w:val="00EB4217"/>
    <w:rsid w:val="00EB56A8"/>
    <w:rsid w:val="00EB5BFE"/>
    <w:rsid w:val="00EB5C7D"/>
    <w:rsid w:val="00EB5CDC"/>
    <w:rsid w:val="00EB709D"/>
    <w:rsid w:val="00EB74A5"/>
    <w:rsid w:val="00EB7831"/>
    <w:rsid w:val="00EB7935"/>
    <w:rsid w:val="00EB7B6E"/>
    <w:rsid w:val="00EC0139"/>
    <w:rsid w:val="00EC0986"/>
    <w:rsid w:val="00EC0DF7"/>
    <w:rsid w:val="00EC121C"/>
    <w:rsid w:val="00EC13B9"/>
    <w:rsid w:val="00EC1DA2"/>
    <w:rsid w:val="00EC3196"/>
    <w:rsid w:val="00EC3323"/>
    <w:rsid w:val="00EC3339"/>
    <w:rsid w:val="00EC34AC"/>
    <w:rsid w:val="00EC38E2"/>
    <w:rsid w:val="00EC3A81"/>
    <w:rsid w:val="00EC4022"/>
    <w:rsid w:val="00EC48DD"/>
    <w:rsid w:val="00EC4D29"/>
    <w:rsid w:val="00EC56F3"/>
    <w:rsid w:val="00EC5B9F"/>
    <w:rsid w:val="00EC5D4B"/>
    <w:rsid w:val="00EC612D"/>
    <w:rsid w:val="00EC67FB"/>
    <w:rsid w:val="00EC6887"/>
    <w:rsid w:val="00EC7F8C"/>
    <w:rsid w:val="00ED0483"/>
    <w:rsid w:val="00ED0C2D"/>
    <w:rsid w:val="00ED101F"/>
    <w:rsid w:val="00ED1867"/>
    <w:rsid w:val="00ED1D8A"/>
    <w:rsid w:val="00ED20A7"/>
    <w:rsid w:val="00ED3174"/>
    <w:rsid w:val="00ED497C"/>
    <w:rsid w:val="00ED5D2F"/>
    <w:rsid w:val="00ED5D72"/>
    <w:rsid w:val="00ED618A"/>
    <w:rsid w:val="00ED6730"/>
    <w:rsid w:val="00ED7051"/>
    <w:rsid w:val="00ED756F"/>
    <w:rsid w:val="00ED779E"/>
    <w:rsid w:val="00ED7B26"/>
    <w:rsid w:val="00EE0527"/>
    <w:rsid w:val="00EE0529"/>
    <w:rsid w:val="00EE0978"/>
    <w:rsid w:val="00EE0BA8"/>
    <w:rsid w:val="00EE0E83"/>
    <w:rsid w:val="00EE0F5B"/>
    <w:rsid w:val="00EE100B"/>
    <w:rsid w:val="00EE128A"/>
    <w:rsid w:val="00EE209D"/>
    <w:rsid w:val="00EE32B9"/>
    <w:rsid w:val="00EE38AD"/>
    <w:rsid w:val="00EE3B88"/>
    <w:rsid w:val="00EE3CA0"/>
    <w:rsid w:val="00EE4880"/>
    <w:rsid w:val="00EE5499"/>
    <w:rsid w:val="00EE5A59"/>
    <w:rsid w:val="00EE5CC5"/>
    <w:rsid w:val="00EE5CC8"/>
    <w:rsid w:val="00EE5D44"/>
    <w:rsid w:val="00EE5D92"/>
    <w:rsid w:val="00EE610B"/>
    <w:rsid w:val="00EE69A0"/>
    <w:rsid w:val="00EE6A07"/>
    <w:rsid w:val="00EE6D7C"/>
    <w:rsid w:val="00EF025D"/>
    <w:rsid w:val="00EF0E6F"/>
    <w:rsid w:val="00EF13C0"/>
    <w:rsid w:val="00EF13D6"/>
    <w:rsid w:val="00EF1F52"/>
    <w:rsid w:val="00EF245D"/>
    <w:rsid w:val="00EF2CF1"/>
    <w:rsid w:val="00EF2D39"/>
    <w:rsid w:val="00EF304B"/>
    <w:rsid w:val="00EF48E1"/>
    <w:rsid w:val="00EF5B3F"/>
    <w:rsid w:val="00EF667E"/>
    <w:rsid w:val="00EF67F0"/>
    <w:rsid w:val="00EF6AA9"/>
    <w:rsid w:val="00EF7240"/>
    <w:rsid w:val="00EF7B62"/>
    <w:rsid w:val="00EF7D3F"/>
    <w:rsid w:val="00F00201"/>
    <w:rsid w:val="00F00495"/>
    <w:rsid w:val="00F00679"/>
    <w:rsid w:val="00F007E9"/>
    <w:rsid w:val="00F02A93"/>
    <w:rsid w:val="00F02CEF"/>
    <w:rsid w:val="00F02F12"/>
    <w:rsid w:val="00F0323F"/>
    <w:rsid w:val="00F04BDC"/>
    <w:rsid w:val="00F04F6C"/>
    <w:rsid w:val="00F05848"/>
    <w:rsid w:val="00F05BD7"/>
    <w:rsid w:val="00F07233"/>
    <w:rsid w:val="00F07BD8"/>
    <w:rsid w:val="00F07C8D"/>
    <w:rsid w:val="00F1090C"/>
    <w:rsid w:val="00F11372"/>
    <w:rsid w:val="00F11D5F"/>
    <w:rsid w:val="00F1276E"/>
    <w:rsid w:val="00F129A5"/>
    <w:rsid w:val="00F1329F"/>
    <w:rsid w:val="00F145F0"/>
    <w:rsid w:val="00F14A3D"/>
    <w:rsid w:val="00F15739"/>
    <w:rsid w:val="00F160AF"/>
    <w:rsid w:val="00F16113"/>
    <w:rsid w:val="00F16BA1"/>
    <w:rsid w:val="00F174A8"/>
    <w:rsid w:val="00F2140C"/>
    <w:rsid w:val="00F21C43"/>
    <w:rsid w:val="00F21ED9"/>
    <w:rsid w:val="00F2240C"/>
    <w:rsid w:val="00F224A1"/>
    <w:rsid w:val="00F236CB"/>
    <w:rsid w:val="00F24516"/>
    <w:rsid w:val="00F246C9"/>
    <w:rsid w:val="00F24C55"/>
    <w:rsid w:val="00F26804"/>
    <w:rsid w:val="00F26B20"/>
    <w:rsid w:val="00F27061"/>
    <w:rsid w:val="00F306A2"/>
    <w:rsid w:val="00F306E3"/>
    <w:rsid w:val="00F30B45"/>
    <w:rsid w:val="00F30C07"/>
    <w:rsid w:val="00F31018"/>
    <w:rsid w:val="00F31D69"/>
    <w:rsid w:val="00F31F40"/>
    <w:rsid w:val="00F32C23"/>
    <w:rsid w:val="00F33275"/>
    <w:rsid w:val="00F33CC8"/>
    <w:rsid w:val="00F34BBC"/>
    <w:rsid w:val="00F34F52"/>
    <w:rsid w:val="00F353DA"/>
    <w:rsid w:val="00F35542"/>
    <w:rsid w:val="00F35C12"/>
    <w:rsid w:val="00F36379"/>
    <w:rsid w:val="00F363B7"/>
    <w:rsid w:val="00F3664D"/>
    <w:rsid w:val="00F36826"/>
    <w:rsid w:val="00F37047"/>
    <w:rsid w:val="00F377A7"/>
    <w:rsid w:val="00F37E5A"/>
    <w:rsid w:val="00F40692"/>
    <w:rsid w:val="00F4070A"/>
    <w:rsid w:val="00F4098C"/>
    <w:rsid w:val="00F409A8"/>
    <w:rsid w:val="00F40BD4"/>
    <w:rsid w:val="00F40E0A"/>
    <w:rsid w:val="00F41DD7"/>
    <w:rsid w:val="00F43219"/>
    <w:rsid w:val="00F4322E"/>
    <w:rsid w:val="00F4399F"/>
    <w:rsid w:val="00F43B0D"/>
    <w:rsid w:val="00F44688"/>
    <w:rsid w:val="00F44699"/>
    <w:rsid w:val="00F44AC9"/>
    <w:rsid w:val="00F44AD8"/>
    <w:rsid w:val="00F45645"/>
    <w:rsid w:val="00F45D6E"/>
    <w:rsid w:val="00F45F2F"/>
    <w:rsid w:val="00F465BE"/>
    <w:rsid w:val="00F468CE"/>
    <w:rsid w:val="00F46AA8"/>
    <w:rsid w:val="00F46DD1"/>
    <w:rsid w:val="00F47C41"/>
    <w:rsid w:val="00F5017F"/>
    <w:rsid w:val="00F51097"/>
    <w:rsid w:val="00F51F16"/>
    <w:rsid w:val="00F526E5"/>
    <w:rsid w:val="00F53040"/>
    <w:rsid w:val="00F5422C"/>
    <w:rsid w:val="00F542F1"/>
    <w:rsid w:val="00F549A5"/>
    <w:rsid w:val="00F54C16"/>
    <w:rsid w:val="00F55B6F"/>
    <w:rsid w:val="00F56122"/>
    <w:rsid w:val="00F562D0"/>
    <w:rsid w:val="00F56481"/>
    <w:rsid w:val="00F56B08"/>
    <w:rsid w:val="00F56B0C"/>
    <w:rsid w:val="00F56BFF"/>
    <w:rsid w:val="00F56D1F"/>
    <w:rsid w:val="00F56F1C"/>
    <w:rsid w:val="00F5730F"/>
    <w:rsid w:val="00F575EA"/>
    <w:rsid w:val="00F57815"/>
    <w:rsid w:val="00F57C5C"/>
    <w:rsid w:val="00F60AB3"/>
    <w:rsid w:val="00F60B1E"/>
    <w:rsid w:val="00F60B61"/>
    <w:rsid w:val="00F60F39"/>
    <w:rsid w:val="00F61086"/>
    <w:rsid w:val="00F612D8"/>
    <w:rsid w:val="00F612E6"/>
    <w:rsid w:val="00F615B5"/>
    <w:rsid w:val="00F6200B"/>
    <w:rsid w:val="00F62A7C"/>
    <w:rsid w:val="00F62AC8"/>
    <w:rsid w:val="00F62AEE"/>
    <w:rsid w:val="00F62CA4"/>
    <w:rsid w:val="00F62D74"/>
    <w:rsid w:val="00F6381A"/>
    <w:rsid w:val="00F63FF9"/>
    <w:rsid w:val="00F642D7"/>
    <w:rsid w:val="00F644D1"/>
    <w:rsid w:val="00F64525"/>
    <w:rsid w:val="00F646C4"/>
    <w:rsid w:val="00F64C2E"/>
    <w:rsid w:val="00F6513F"/>
    <w:rsid w:val="00F65640"/>
    <w:rsid w:val="00F6590B"/>
    <w:rsid w:val="00F65A98"/>
    <w:rsid w:val="00F67291"/>
    <w:rsid w:val="00F676BA"/>
    <w:rsid w:val="00F67975"/>
    <w:rsid w:val="00F70018"/>
    <w:rsid w:val="00F72976"/>
    <w:rsid w:val="00F72A3F"/>
    <w:rsid w:val="00F72B53"/>
    <w:rsid w:val="00F73AE6"/>
    <w:rsid w:val="00F750B9"/>
    <w:rsid w:val="00F750DF"/>
    <w:rsid w:val="00F76098"/>
    <w:rsid w:val="00F764BC"/>
    <w:rsid w:val="00F7691B"/>
    <w:rsid w:val="00F76BD6"/>
    <w:rsid w:val="00F777D4"/>
    <w:rsid w:val="00F80399"/>
    <w:rsid w:val="00F804BB"/>
    <w:rsid w:val="00F804E7"/>
    <w:rsid w:val="00F80BEA"/>
    <w:rsid w:val="00F81187"/>
    <w:rsid w:val="00F81563"/>
    <w:rsid w:val="00F8178D"/>
    <w:rsid w:val="00F817BD"/>
    <w:rsid w:val="00F81AA6"/>
    <w:rsid w:val="00F81FDD"/>
    <w:rsid w:val="00F832CF"/>
    <w:rsid w:val="00F83A58"/>
    <w:rsid w:val="00F84247"/>
    <w:rsid w:val="00F85283"/>
    <w:rsid w:val="00F85327"/>
    <w:rsid w:val="00F85475"/>
    <w:rsid w:val="00F856A6"/>
    <w:rsid w:val="00F85A51"/>
    <w:rsid w:val="00F8672E"/>
    <w:rsid w:val="00F87F5A"/>
    <w:rsid w:val="00F910AE"/>
    <w:rsid w:val="00F9142D"/>
    <w:rsid w:val="00F91568"/>
    <w:rsid w:val="00F91B38"/>
    <w:rsid w:val="00F91D47"/>
    <w:rsid w:val="00F92179"/>
    <w:rsid w:val="00F9355A"/>
    <w:rsid w:val="00F93D3D"/>
    <w:rsid w:val="00F94015"/>
    <w:rsid w:val="00F940A8"/>
    <w:rsid w:val="00F941DD"/>
    <w:rsid w:val="00F94235"/>
    <w:rsid w:val="00F9476C"/>
    <w:rsid w:val="00F95063"/>
    <w:rsid w:val="00F95193"/>
    <w:rsid w:val="00F954F3"/>
    <w:rsid w:val="00F955B6"/>
    <w:rsid w:val="00F96238"/>
    <w:rsid w:val="00F968F1"/>
    <w:rsid w:val="00F97862"/>
    <w:rsid w:val="00F97BCB"/>
    <w:rsid w:val="00FA0A66"/>
    <w:rsid w:val="00FA0B5B"/>
    <w:rsid w:val="00FA0DBD"/>
    <w:rsid w:val="00FA0E52"/>
    <w:rsid w:val="00FA0F3A"/>
    <w:rsid w:val="00FA1872"/>
    <w:rsid w:val="00FA1E3E"/>
    <w:rsid w:val="00FA2245"/>
    <w:rsid w:val="00FA29E6"/>
    <w:rsid w:val="00FA2CE6"/>
    <w:rsid w:val="00FA3036"/>
    <w:rsid w:val="00FA3FFF"/>
    <w:rsid w:val="00FA4842"/>
    <w:rsid w:val="00FA497F"/>
    <w:rsid w:val="00FA4D2D"/>
    <w:rsid w:val="00FA5B47"/>
    <w:rsid w:val="00FA5BFA"/>
    <w:rsid w:val="00FA5CCE"/>
    <w:rsid w:val="00FA70C9"/>
    <w:rsid w:val="00FA741C"/>
    <w:rsid w:val="00FA79FE"/>
    <w:rsid w:val="00FB01AB"/>
    <w:rsid w:val="00FB02E9"/>
    <w:rsid w:val="00FB1110"/>
    <w:rsid w:val="00FB211D"/>
    <w:rsid w:val="00FB2762"/>
    <w:rsid w:val="00FB2A72"/>
    <w:rsid w:val="00FB2D93"/>
    <w:rsid w:val="00FB37FB"/>
    <w:rsid w:val="00FB3AC5"/>
    <w:rsid w:val="00FB4150"/>
    <w:rsid w:val="00FB41CF"/>
    <w:rsid w:val="00FB4698"/>
    <w:rsid w:val="00FB4D3C"/>
    <w:rsid w:val="00FB5A8F"/>
    <w:rsid w:val="00FB6421"/>
    <w:rsid w:val="00FB647A"/>
    <w:rsid w:val="00FB6830"/>
    <w:rsid w:val="00FB6E9C"/>
    <w:rsid w:val="00FB7A64"/>
    <w:rsid w:val="00FC00BF"/>
    <w:rsid w:val="00FC1414"/>
    <w:rsid w:val="00FC1738"/>
    <w:rsid w:val="00FC1FBC"/>
    <w:rsid w:val="00FC2558"/>
    <w:rsid w:val="00FC2C65"/>
    <w:rsid w:val="00FC3880"/>
    <w:rsid w:val="00FC40E3"/>
    <w:rsid w:val="00FC4359"/>
    <w:rsid w:val="00FC4683"/>
    <w:rsid w:val="00FC5686"/>
    <w:rsid w:val="00FC5C52"/>
    <w:rsid w:val="00FC5F8C"/>
    <w:rsid w:val="00FC62E2"/>
    <w:rsid w:val="00FC7088"/>
    <w:rsid w:val="00FC71AE"/>
    <w:rsid w:val="00FC772D"/>
    <w:rsid w:val="00FC77F8"/>
    <w:rsid w:val="00FC7D4C"/>
    <w:rsid w:val="00FC7D59"/>
    <w:rsid w:val="00FD00B8"/>
    <w:rsid w:val="00FD0905"/>
    <w:rsid w:val="00FD09C9"/>
    <w:rsid w:val="00FD15E8"/>
    <w:rsid w:val="00FD1B9F"/>
    <w:rsid w:val="00FD1E31"/>
    <w:rsid w:val="00FD200F"/>
    <w:rsid w:val="00FD2374"/>
    <w:rsid w:val="00FD2375"/>
    <w:rsid w:val="00FD26CF"/>
    <w:rsid w:val="00FD2995"/>
    <w:rsid w:val="00FD2C06"/>
    <w:rsid w:val="00FD3715"/>
    <w:rsid w:val="00FD3D75"/>
    <w:rsid w:val="00FD3DCD"/>
    <w:rsid w:val="00FD457D"/>
    <w:rsid w:val="00FD4C92"/>
    <w:rsid w:val="00FD51FE"/>
    <w:rsid w:val="00FD55E4"/>
    <w:rsid w:val="00FD58BD"/>
    <w:rsid w:val="00FD5B56"/>
    <w:rsid w:val="00FD5DE1"/>
    <w:rsid w:val="00FD6245"/>
    <w:rsid w:val="00FD6485"/>
    <w:rsid w:val="00FD6810"/>
    <w:rsid w:val="00FD6B1C"/>
    <w:rsid w:val="00FD7369"/>
    <w:rsid w:val="00FD7859"/>
    <w:rsid w:val="00FD7A5F"/>
    <w:rsid w:val="00FE094E"/>
    <w:rsid w:val="00FE095C"/>
    <w:rsid w:val="00FE0EEF"/>
    <w:rsid w:val="00FE0FC1"/>
    <w:rsid w:val="00FE28F7"/>
    <w:rsid w:val="00FE2D5C"/>
    <w:rsid w:val="00FE2F92"/>
    <w:rsid w:val="00FE317F"/>
    <w:rsid w:val="00FE38AE"/>
    <w:rsid w:val="00FE3A74"/>
    <w:rsid w:val="00FE3DC8"/>
    <w:rsid w:val="00FE468E"/>
    <w:rsid w:val="00FE4858"/>
    <w:rsid w:val="00FE50C5"/>
    <w:rsid w:val="00FE6E52"/>
    <w:rsid w:val="00FE729D"/>
    <w:rsid w:val="00FE72FF"/>
    <w:rsid w:val="00FE7D9D"/>
    <w:rsid w:val="00FF00BF"/>
    <w:rsid w:val="00FF0143"/>
    <w:rsid w:val="00FF06B8"/>
    <w:rsid w:val="00FF18F3"/>
    <w:rsid w:val="00FF19A8"/>
    <w:rsid w:val="00FF1C17"/>
    <w:rsid w:val="00FF24B1"/>
    <w:rsid w:val="00FF263A"/>
    <w:rsid w:val="00FF2BBD"/>
    <w:rsid w:val="00FF2E78"/>
    <w:rsid w:val="00FF2FDD"/>
    <w:rsid w:val="00FF40BB"/>
    <w:rsid w:val="00FF4565"/>
    <w:rsid w:val="00FF5CA8"/>
    <w:rsid w:val="00FF62E0"/>
    <w:rsid w:val="00FF7146"/>
    <w:rsid w:val="00FF77A1"/>
    <w:rsid w:val="0133364E"/>
    <w:rsid w:val="013982C9"/>
    <w:rsid w:val="017B8187"/>
    <w:rsid w:val="024F8818"/>
    <w:rsid w:val="039B3092"/>
    <w:rsid w:val="051AAD30"/>
    <w:rsid w:val="052E5C75"/>
    <w:rsid w:val="0563CF42"/>
    <w:rsid w:val="05652DBC"/>
    <w:rsid w:val="0639CD33"/>
    <w:rsid w:val="06417C55"/>
    <w:rsid w:val="071A25DE"/>
    <w:rsid w:val="079126DD"/>
    <w:rsid w:val="07C8CD6C"/>
    <w:rsid w:val="07E43BD1"/>
    <w:rsid w:val="085B2135"/>
    <w:rsid w:val="0937B45B"/>
    <w:rsid w:val="09919840"/>
    <w:rsid w:val="0A12CBB7"/>
    <w:rsid w:val="0AA82569"/>
    <w:rsid w:val="0AAB86FC"/>
    <w:rsid w:val="0B79F6E2"/>
    <w:rsid w:val="0C3D5DA7"/>
    <w:rsid w:val="0C494A22"/>
    <w:rsid w:val="0CD32BF1"/>
    <w:rsid w:val="0E25366C"/>
    <w:rsid w:val="0FD1FD6B"/>
    <w:rsid w:val="1087927B"/>
    <w:rsid w:val="10986B13"/>
    <w:rsid w:val="10B3C42D"/>
    <w:rsid w:val="10C21919"/>
    <w:rsid w:val="112A4C7A"/>
    <w:rsid w:val="12196768"/>
    <w:rsid w:val="12CC34A7"/>
    <w:rsid w:val="14A2B4A8"/>
    <w:rsid w:val="179A1359"/>
    <w:rsid w:val="1889B12C"/>
    <w:rsid w:val="188C8F7D"/>
    <w:rsid w:val="190C4729"/>
    <w:rsid w:val="19EC4452"/>
    <w:rsid w:val="1AAD7461"/>
    <w:rsid w:val="1B246A06"/>
    <w:rsid w:val="1B862352"/>
    <w:rsid w:val="1C785B25"/>
    <w:rsid w:val="1E2D8576"/>
    <w:rsid w:val="1E432B92"/>
    <w:rsid w:val="1FA34F6C"/>
    <w:rsid w:val="1FC737C1"/>
    <w:rsid w:val="1FCD65F1"/>
    <w:rsid w:val="2087BD11"/>
    <w:rsid w:val="2104E7C1"/>
    <w:rsid w:val="21855919"/>
    <w:rsid w:val="21A5576E"/>
    <w:rsid w:val="2264B73A"/>
    <w:rsid w:val="22CC5B64"/>
    <w:rsid w:val="2324DE12"/>
    <w:rsid w:val="239BF3D3"/>
    <w:rsid w:val="23A4AC43"/>
    <w:rsid w:val="24346585"/>
    <w:rsid w:val="2476DE0F"/>
    <w:rsid w:val="26FD4AFF"/>
    <w:rsid w:val="2775B74E"/>
    <w:rsid w:val="286E8BEE"/>
    <w:rsid w:val="28BA8B01"/>
    <w:rsid w:val="2941EA22"/>
    <w:rsid w:val="2960AC26"/>
    <w:rsid w:val="2B09401B"/>
    <w:rsid w:val="2B85B3D6"/>
    <w:rsid w:val="2C6A5F67"/>
    <w:rsid w:val="2CAB4734"/>
    <w:rsid w:val="2CDB26D8"/>
    <w:rsid w:val="2D35D866"/>
    <w:rsid w:val="2D5786CE"/>
    <w:rsid w:val="2E8869E0"/>
    <w:rsid w:val="2EB4C43F"/>
    <w:rsid w:val="2F145FAE"/>
    <w:rsid w:val="2F484C1E"/>
    <w:rsid w:val="2F4A8F2C"/>
    <w:rsid w:val="2FDA212C"/>
    <w:rsid w:val="3019027D"/>
    <w:rsid w:val="30B33EB2"/>
    <w:rsid w:val="3111ED61"/>
    <w:rsid w:val="3131A385"/>
    <w:rsid w:val="31848722"/>
    <w:rsid w:val="31C23F19"/>
    <w:rsid w:val="31E12BE1"/>
    <w:rsid w:val="3200F389"/>
    <w:rsid w:val="3210B7C4"/>
    <w:rsid w:val="32C6865E"/>
    <w:rsid w:val="3350CE7D"/>
    <w:rsid w:val="35160321"/>
    <w:rsid w:val="357F47C9"/>
    <w:rsid w:val="357FFD27"/>
    <w:rsid w:val="35B39C5F"/>
    <w:rsid w:val="35DAE555"/>
    <w:rsid w:val="373AC2A5"/>
    <w:rsid w:val="3743F5EB"/>
    <w:rsid w:val="3746ABAD"/>
    <w:rsid w:val="3943CF8B"/>
    <w:rsid w:val="398F8BCE"/>
    <w:rsid w:val="3A06D2DF"/>
    <w:rsid w:val="3A2B63AA"/>
    <w:rsid w:val="3C95E528"/>
    <w:rsid w:val="3CBDF20B"/>
    <w:rsid w:val="3DA53752"/>
    <w:rsid w:val="3DB3AB92"/>
    <w:rsid w:val="3ED95218"/>
    <w:rsid w:val="4015C5E4"/>
    <w:rsid w:val="40A6AA4D"/>
    <w:rsid w:val="40B01693"/>
    <w:rsid w:val="4189E803"/>
    <w:rsid w:val="41DFB241"/>
    <w:rsid w:val="4358E101"/>
    <w:rsid w:val="43A45086"/>
    <w:rsid w:val="43A9A2F5"/>
    <w:rsid w:val="43B86B02"/>
    <w:rsid w:val="43E33455"/>
    <w:rsid w:val="448694B2"/>
    <w:rsid w:val="44BD3247"/>
    <w:rsid w:val="464D2598"/>
    <w:rsid w:val="46670132"/>
    <w:rsid w:val="470F980A"/>
    <w:rsid w:val="485BEFDE"/>
    <w:rsid w:val="4B000E21"/>
    <w:rsid w:val="4C3E558A"/>
    <w:rsid w:val="4C79D12F"/>
    <w:rsid w:val="4DB353F8"/>
    <w:rsid w:val="4EDB06C8"/>
    <w:rsid w:val="504F567C"/>
    <w:rsid w:val="51170FB9"/>
    <w:rsid w:val="5147E8F1"/>
    <w:rsid w:val="52FCEBC7"/>
    <w:rsid w:val="534CACF2"/>
    <w:rsid w:val="5420AF77"/>
    <w:rsid w:val="54EB755D"/>
    <w:rsid w:val="54F8D108"/>
    <w:rsid w:val="55BE3FF5"/>
    <w:rsid w:val="55D01E03"/>
    <w:rsid w:val="5A11AAC0"/>
    <w:rsid w:val="5E2F74F9"/>
    <w:rsid w:val="5E972837"/>
    <w:rsid w:val="5EF67614"/>
    <w:rsid w:val="5FA12F42"/>
    <w:rsid w:val="6052493F"/>
    <w:rsid w:val="6177DED7"/>
    <w:rsid w:val="61BCF7EC"/>
    <w:rsid w:val="61F730F2"/>
    <w:rsid w:val="62B4E01D"/>
    <w:rsid w:val="62DE1F50"/>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E8A95B"/>
    <w:rsid w:val="69401F81"/>
    <w:rsid w:val="6A557C45"/>
    <w:rsid w:val="6AECACCD"/>
    <w:rsid w:val="6B57109A"/>
    <w:rsid w:val="6B652842"/>
    <w:rsid w:val="6C860CA9"/>
    <w:rsid w:val="6C98BC05"/>
    <w:rsid w:val="6CCD8654"/>
    <w:rsid w:val="6D4DEA94"/>
    <w:rsid w:val="6DEEF7C1"/>
    <w:rsid w:val="6E572DEF"/>
    <w:rsid w:val="6F16B8D8"/>
    <w:rsid w:val="6F9FDCE2"/>
    <w:rsid w:val="6FFB8F62"/>
    <w:rsid w:val="705E9A5A"/>
    <w:rsid w:val="70B185FB"/>
    <w:rsid w:val="71CFA602"/>
    <w:rsid w:val="7208B566"/>
    <w:rsid w:val="73035B8A"/>
    <w:rsid w:val="7351E4D7"/>
    <w:rsid w:val="73713E00"/>
    <w:rsid w:val="73AC3D33"/>
    <w:rsid w:val="74A0F9CE"/>
    <w:rsid w:val="74D54EB6"/>
    <w:rsid w:val="75DFE270"/>
    <w:rsid w:val="75FB07C7"/>
    <w:rsid w:val="76BDD0E6"/>
    <w:rsid w:val="7837BF55"/>
    <w:rsid w:val="788F2AF4"/>
    <w:rsid w:val="79FAD799"/>
    <w:rsid w:val="7A192520"/>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3B1F6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2C7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8A2C71"/>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8A2C71"/>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22"/>
      </w:numPr>
    </w:pPr>
  </w:style>
  <w:style w:type="paragraph" w:styleId="ListNumber">
    <w:name w:val="List Number"/>
    <w:basedOn w:val="List"/>
    <w:rsid w:val="008A2C71"/>
    <w:pPr>
      <w:numPr>
        <w:numId w:val="2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17"/>
      </w:numPr>
    </w:pPr>
  </w:style>
  <w:style w:type="paragraph" w:styleId="ListBullet">
    <w:name w:val="List Bullet"/>
    <w:basedOn w:val="List"/>
    <w:rsid w:val="008A2C71"/>
    <w:pPr>
      <w:numPr>
        <w:numId w:val="16"/>
      </w:numPr>
    </w:pPr>
    <w:rPr>
      <w:lang w:eastAsia="ja-JP"/>
    </w:rPr>
  </w:style>
  <w:style w:type="paragraph" w:styleId="ListBullet3">
    <w:name w:val="List Bullet 3"/>
    <w:basedOn w:val="ListBullet2"/>
    <w:rsid w:val="008A2C71"/>
    <w:pPr>
      <w:numPr>
        <w:numId w:val="1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19"/>
      </w:numPr>
    </w:pPr>
  </w:style>
  <w:style w:type="paragraph" w:styleId="ListBullet5">
    <w:name w:val="List Bullet 5"/>
    <w:basedOn w:val="ListBullet4"/>
    <w:rsid w:val="008A2C71"/>
    <w:pPr>
      <w:numPr>
        <w:numId w:val="2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2"/>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jc w:val="both"/>
    </w:pPr>
    <w:rPr>
      <w:rFonts w:ascii="Arial" w:hAnsi="Arial"/>
      <w:lang w:eastAsia="zh-CN"/>
    </w:rPr>
  </w:style>
  <w:style w:type="character" w:customStyle="1" w:styleId="BodyTextChar">
    <w:name w:val="Body Text Char"/>
    <w:basedOn w:val="DefaultParagraphFont"/>
    <w:link w:val="BodyText"/>
    <w:rsid w:val="008A2C71"/>
    <w:rPr>
      <w:rFonts w:ascii="Arial" w:eastAsia="Times New Roman" w:hAnsi="Arial" w:cs="Times New Roman"/>
      <w:sz w:val="20"/>
      <w:szCs w:val="20"/>
      <w:lang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uiPriority w:val="99"/>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
    <w:name w:val="B1"/>
    <w:basedOn w:val="List"/>
    <w:link w:val="B1Char1"/>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3"/>
      </w:numPr>
      <w:tabs>
        <w:tab w:val="left" w:pos="1701"/>
      </w:tabs>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rFonts w:ascii="Arial" w:hAnsi="Arial"/>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rFonts w:ascii="Arial" w:hAnsi="Arial"/>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13"/>
      </w:numPr>
      <w:ind w:left="1701" w:hanging="1701"/>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
    <w:qFormat/>
    <w:rsid w:val="008A2C71"/>
    <w:rPr>
      <w:rFonts w:ascii="Times New Roman" w:eastAsia="Times New Roman" w:hAnsi="Times New Roman" w:cs="Times New Roman"/>
      <w:sz w:val="20"/>
      <w:szCs w:val="20"/>
      <w:lang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A2C71"/>
    <w:rPr>
      <w:rFonts w:ascii="Arial" w:eastAsia="MS Mincho" w:hAnsi="Arial" w:cs="Times New Roman"/>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14"/>
      </w:numPr>
      <w:spacing w:before="40" w:after="0"/>
    </w:pPr>
    <w:rPr>
      <w:rFonts w:ascii="Arial" w:eastAsia="MS Mincho" w:hAnsi="Arial"/>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rFonts w:ascii="Arial" w:hAnsi="Arial"/>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39"/>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Times New Roman"/>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Times New Roman"/>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A2C71"/>
    <w:rPr>
      <w:rFonts w:ascii="Arial" w:eastAsia="Malgun Gothic" w:hAnsi="Arial" w:cs="Times New Roman"/>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rPr>
      <w:rFonts w:ascii="Arial" w:hAnsi="Arial"/>
    </w:rPr>
  </w:style>
  <w:style w:type="paragraph" w:styleId="ListContinue2">
    <w:name w:val="List Continue 2"/>
    <w:basedOn w:val="Normal"/>
    <w:rsid w:val="008A2C71"/>
    <w:pPr>
      <w:spacing w:after="120"/>
      <w:ind w:left="566"/>
      <w:contextualSpacing/>
    </w:pPr>
    <w:rPr>
      <w:rFonts w:ascii="Arial" w:hAnsi="Arial"/>
    </w:rPr>
  </w:style>
  <w:style w:type="paragraph" w:styleId="ListNumber3">
    <w:name w:val="List Number 3"/>
    <w:basedOn w:val="ListNumber2"/>
    <w:rsid w:val="008A2C71"/>
    <w:pPr>
      <w:numPr>
        <w:numId w:val="10"/>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rFonts w:ascii="Arial" w:hAnsi="Arial"/>
      <w:b/>
      <w:lang w:val="en-GB"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rFonts w:ascii="Arial" w:hAnsi="Arial"/>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tiff"/><Relationship Id="rId26" Type="http://schemas.openxmlformats.org/officeDocument/2006/relationships/image" Target="media/image14.tiff"/><Relationship Id="rId39" Type="http://schemas.openxmlformats.org/officeDocument/2006/relationships/image" Target="media/image27.wmf"/><Relationship Id="rId21" Type="http://schemas.openxmlformats.org/officeDocument/2006/relationships/image" Target="media/image9.tiff"/><Relationship Id="rId34" Type="http://schemas.openxmlformats.org/officeDocument/2006/relationships/image" Target="media/image22.tiff"/><Relationship Id="rId42" Type="http://schemas.openxmlformats.org/officeDocument/2006/relationships/oleObject" Target="embeddings/oleObject2.bin"/><Relationship Id="rId47" Type="http://schemas.openxmlformats.org/officeDocument/2006/relationships/image" Target="media/image33.wmf"/><Relationship Id="rId50" Type="http://schemas.openxmlformats.org/officeDocument/2006/relationships/image" Target="media/image36.png"/><Relationship Id="rId55"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tiff"/><Relationship Id="rId29" Type="http://schemas.openxmlformats.org/officeDocument/2006/relationships/image" Target="media/image17.tiff"/><Relationship Id="rId11" Type="http://schemas.openxmlformats.org/officeDocument/2006/relationships/footnotes" Target="footnotes.xml"/><Relationship Id="rId24" Type="http://schemas.openxmlformats.org/officeDocument/2006/relationships/image" Target="media/image12.tif"/><Relationship Id="rId32" Type="http://schemas.openxmlformats.org/officeDocument/2006/relationships/image" Target="media/image20.tiff"/><Relationship Id="rId37" Type="http://schemas.openxmlformats.org/officeDocument/2006/relationships/image" Target="media/image25.png"/><Relationship Id="rId40" Type="http://schemas.openxmlformats.org/officeDocument/2006/relationships/oleObject" Target="embeddings/oleObject1.bin"/><Relationship Id="rId45" Type="http://schemas.openxmlformats.org/officeDocument/2006/relationships/image" Target="media/image31.wmf"/><Relationship Id="rId53" Type="http://schemas.openxmlformats.org/officeDocument/2006/relationships/hyperlink" Target="http://cp.literature.agilent.com/litweb/pdf/5990-9697EN.pdf" TargetMode="Externa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tiff"/><Relationship Id="rId31" Type="http://schemas.openxmlformats.org/officeDocument/2006/relationships/image" Target="media/image19.tiff"/><Relationship Id="rId44" Type="http://schemas.openxmlformats.org/officeDocument/2006/relationships/image" Target="media/image30.wmf"/><Relationship Id="rId52" Type="http://schemas.openxmlformats.org/officeDocument/2006/relationships/image" Target="media/image38.emf"/><Relationship Id="rId48" Type="http://schemas.openxmlformats.org/officeDocument/2006/relationships/image" Target="media/image34.emf"/><Relationship Id="rId9" Type="http://schemas.openxmlformats.org/officeDocument/2006/relationships/settings" Target="settings.xml"/><Relationship Id="rId14" Type="http://schemas.openxmlformats.org/officeDocument/2006/relationships/image" Target="media/image2.tiff"/><Relationship Id="rId22" Type="http://schemas.openxmlformats.org/officeDocument/2006/relationships/image" Target="media/image10.png"/><Relationship Id="rId27" Type="http://schemas.openxmlformats.org/officeDocument/2006/relationships/image" Target="media/image15.tiff"/><Relationship Id="rId30" Type="http://schemas.openxmlformats.org/officeDocument/2006/relationships/image" Target="media/image18.tiff"/><Relationship Id="rId35" Type="http://schemas.openxmlformats.org/officeDocument/2006/relationships/image" Target="media/image23.emf"/><Relationship Id="rId43" Type="http://schemas.openxmlformats.org/officeDocument/2006/relationships/image" Target="media/image29.wmf"/><Relationship Id="rId8" Type="http://schemas.openxmlformats.org/officeDocument/2006/relationships/styles" Target="style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tiff"/><Relationship Id="rId25" Type="http://schemas.openxmlformats.org/officeDocument/2006/relationships/image" Target="media/image13.tiff"/><Relationship Id="rId33" Type="http://schemas.openxmlformats.org/officeDocument/2006/relationships/image" Target="media/image21.tiff"/><Relationship Id="rId38" Type="http://schemas.openxmlformats.org/officeDocument/2006/relationships/image" Target="media/image26.png"/><Relationship Id="rId46" Type="http://schemas.openxmlformats.org/officeDocument/2006/relationships/image" Target="media/image32.wmf"/><Relationship Id="rId20" Type="http://schemas.openxmlformats.org/officeDocument/2006/relationships/image" Target="media/image8.tiff"/><Relationship Id="rId41" Type="http://schemas.openxmlformats.org/officeDocument/2006/relationships/image" Target="media/image28.wmf"/><Relationship Id="rId54" Type="http://schemas.openxmlformats.org/officeDocument/2006/relationships/fontTable" Target="fontTable.xml"/><Relationship Id="rId6" Type="http://schemas.openxmlformats.org/officeDocument/2006/relationships/customXml" Target="../customXml/item6.xml"/><Relationship Id="rId15" Type="http://schemas.openxmlformats.org/officeDocument/2006/relationships/image" Target="media/image3.tiff"/><Relationship Id="rId23" Type="http://schemas.openxmlformats.org/officeDocument/2006/relationships/image" Target="media/image11.tif"/><Relationship Id="rId28" Type="http://schemas.openxmlformats.org/officeDocument/2006/relationships/image" Target="media/image16.tiff"/><Relationship Id="rId36" Type="http://schemas.openxmlformats.org/officeDocument/2006/relationships/image" Target="media/image24.emf"/><Relationship Id="rId4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2BB3A8-5BDC-45B5-AA85-55CDADCA1053}">
  <ds:schemaRefs>
    <ds:schemaRef ds:uri="http://schemas.microsoft.com/sharepoint/events"/>
  </ds:schemaRefs>
</ds:datastoreItem>
</file>

<file path=customXml/itemProps2.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3.xml><?xml version="1.0" encoding="utf-8"?>
<ds:datastoreItem xmlns:ds="http://schemas.openxmlformats.org/officeDocument/2006/customXml" ds:itemID="{620C770C-47B9-40F0-AE3C-65C874F35B5F}">
  <ds:schemaRefs>
    <ds:schemaRef ds:uri="611109f9-ed58-4498-a270-1fb2086a5321"/>
    <ds:schemaRef ds:uri="http://schemas.microsoft.com/office/infopath/2007/PartnerControls"/>
    <ds:schemaRef ds:uri="http://purl.org/dc/terms/"/>
    <ds:schemaRef ds:uri="http://schemas.microsoft.com/office/2006/documentManagement/types"/>
    <ds:schemaRef ds:uri="d8762117-8292-4133-b1c7-eab5c6487cfd"/>
    <ds:schemaRef ds:uri="http://schemas.openxmlformats.org/package/2006/metadata/core-properties"/>
    <ds:schemaRef ds:uri="http://purl.org/dc/elements/1.1/"/>
    <ds:schemaRef ds:uri="http://schemas.microsoft.com/office/2006/metadata/properties"/>
    <ds:schemaRef ds:uri="http://purl.org/dc/dcmitype/"/>
    <ds:schemaRef ds:uri="http://schemas.microsoft.com/sharepoint/v4"/>
    <ds:schemaRef ds:uri="f166a696-7b5b-4ccd-9f0c-ffde0cceec81"/>
    <ds:schemaRef ds:uri="http://www.w3.org/XML/1998/namespace"/>
  </ds:schemaRefs>
</ds:datastoreItem>
</file>

<file path=customXml/itemProps4.xml><?xml version="1.0" encoding="utf-8"?>
<ds:datastoreItem xmlns:ds="http://schemas.openxmlformats.org/officeDocument/2006/customXml" ds:itemID="{06B2090D-EB77-4AF1-A74F-EE3B859F214E}">
  <ds:schemaRefs>
    <ds:schemaRef ds:uri="Microsoft.SharePoint.Taxonomy.ContentTypeSync"/>
  </ds:schemaRefs>
</ds:datastoreItem>
</file>

<file path=customXml/itemProps5.xml><?xml version="1.0" encoding="utf-8"?>
<ds:datastoreItem xmlns:ds="http://schemas.openxmlformats.org/officeDocument/2006/customXml" ds:itemID="{F6BC3328-1FB0-4E34-980F-95AABD3D46B6}"/>
</file>

<file path=customXml/itemProps6.xml><?xml version="1.0" encoding="utf-8"?>
<ds:datastoreItem xmlns:ds="http://schemas.openxmlformats.org/officeDocument/2006/customXml" ds:itemID="{ED3E981A-5304-4502-A177-6A0A5E843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15909</Words>
  <Characters>90682</Characters>
  <Application>Microsoft Office Word</Application>
  <DocSecurity>0</DocSecurity>
  <Lines>755</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2020-07-15T10:30:00Z</dcterms:created>
  <dcterms:modified xsi:type="dcterms:W3CDTF">2020-08-08T00:00:00Z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_dlc_DocIdItemGuid">
    <vt:lpwstr>5b900a75-2393-443c-bfe8-9bfecac0a2ad</vt:lpwstr>
  </property>
  <property fmtid="{D5CDD505-2E9C-101B-9397-08002B2CF9AE}" pid="5" name="EriCOLLCategory">
    <vt:lpwstr/>
  </property>
  <property fmtid="{D5CDD505-2E9C-101B-9397-08002B2CF9AE}" pid="6" name="EriCOLLProjectsTaxHTField0">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Customer">
    <vt:lpwstr/>
  </property>
  <property fmtid="{D5CDD505-2E9C-101B-9397-08002B2CF9AE}" pid="12" name="EriCOLLOrganizationUnitTaxHTField0">
    <vt:lpwstr/>
  </property>
  <property fmtid="{D5CDD505-2E9C-101B-9397-08002B2CF9AE}" pid="13" name="EriCOLLProducts">
    <vt:lpwstr/>
  </property>
  <property fmtid="{D5CDD505-2E9C-101B-9397-08002B2CF9AE}" pid="14" name="EriCOLLCategoryTaxHTField0">
    <vt:lpwstr/>
  </property>
  <property fmtid="{D5CDD505-2E9C-101B-9397-08002B2CF9AE}" pid="15" name="EriCOLLCompetenceTaxHTField0">
    <vt:lpwstr/>
  </property>
  <property fmtid="{D5CDD505-2E9C-101B-9397-08002B2CF9AE}" pid="16" name="EriCOLLCountryTaxHTField0">
    <vt:lpwstr/>
  </property>
  <property fmtid="{D5CDD505-2E9C-101B-9397-08002B2CF9AE}" pid="17" name="EriCOLLCustomerTaxHTField0">
    <vt:lpwstr/>
  </property>
  <property fmtid="{D5CDD505-2E9C-101B-9397-08002B2CF9AE}" pid="18" name="EriCOLLProductsTaxHTField0">
    <vt:lpwstr/>
  </property>
  <property fmtid="{D5CDD505-2E9C-101B-9397-08002B2CF9AE}" pid="19" name="EriCOLLProcessTaxHTField0">
    <vt:lpwstr/>
  </property>
  <property fmtid="{D5CDD505-2E9C-101B-9397-08002B2CF9AE}" pid="20" name="EriCOLLProjects">
    <vt:lpwstr/>
  </property>
</Properties>
</file>